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rFonts w:ascii="Aptos Display" w:hAnsi="Aptos Display"/>
          <w:b/>
          <w:color w:val="17365D"/>
          <w:sz w:val="56"/>
        </w:rPr>
        <w:t>ENTERPRISE ONTOLOGY</w:t>
        <w:br/>
        <w:t>DEVELOPMENT STANDARD</w:t>
      </w:r>
    </w:p>
    <w:p>
      <w:pPr>
        <w:spacing w:before="320"/>
        <w:jc w:val="center"/>
      </w:pPr>
      <w:r>
        <w:rPr>
          <w:color w:val="1F4E78"/>
          <w:sz w:val="28"/>
        </w:rPr>
        <w:t>Namespace, Repository, Modeling, Validation, Versioning, Governance and Release Rules</w:t>
      </w:r>
    </w:p>
    <w:p>
      <w:pPr>
        <w:spacing w:before="560"/>
        <w:jc w:val="center"/>
      </w:pPr>
      <w:r>
        <w:rPr>
          <w:i/>
          <w:color w:val="595959"/>
          <w:sz w:val="21"/>
        </w:rPr>
        <w:t>Chubb-aligned enterprise standard based on the uploaded ontology engineering package</w:t>
      </w:r>
    </w:p>
    <w:p>
      <w:pPr>
        <w:spacing w:before="2200"/>
        <w:jc w:val="center"/>
      </w:pPr>
      <w:r>
        <w:rPr>
          <w:sz w:val="20"/>
        </w:rPr>
        <w:t>Version 1.0</w:t>
        <w:br/>
        <w:t>August 2026</w:t>
        <w:br/>
        <w:t>Status: Proposed Organizational Standard</w:t>
      </w:r>
    </w:p>
    <w:p>
      <w:r>
        <w:br w:type="page"/>
      </w:r>
    </w:p>
    <w:p>
      <w:pPr>
        <w:pStyle w:val="Heading1"/>
      </w:pPr>
      <w:r>
        <w:t>Document Control</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448"/>
            <w:shd w:fill="1F4E78"/>
            <w:vAlign w:val="center"/>
            <w:tcMar>
              <w:top w:w="80" w:type="dxa"/>
              <w:start w:w="90" w:type="dxa"/>
              <w:bottom w:w="80" w:type="dxa"/>
              <w:end w:w="90" w:type="dxa"/>
            </w:tcMar>
          </w:tcPr>
          <w:p>
            <w:r>
              <w:rPr>
                <w:b/>
                <w:color w:val="FFFFFF"/>
                <w:sz w:val="18"/>
              </w:rPr>
              <w:t>Field</w:t>
            </w:r>
          </w:p>
        </w:tc>
        <w:tc>
          <w:tcPr>
            <w:tcW w:type="dxa" w:w="7776"/>
            <w:shd w:fill="1F4E78"/>
            <w:vAlign w:val="center"/>
            <w:tcMar>
              <w:top w:w="80" w:type="dxa"/>
              <w:start w:w="90" w:type="dxa"/>
              <w:bottom w:w="80" w:type="dxa"/>
              <w:end w:w="90" w:type="dxa"/>
            </w:tcMar>
          </w:tcPr>
          <w:p>
            <w:r>
              <w:rPr>
                <w:b/>
                <w:color w:val="FFFFFF"/>
                <w:sz w:val="18"/>
              </w:rPr>
              <w:t>Value</w:t>
            </w:r>
          </w:p>
        </w:tc>
      </w:tr>
      <w:tr>
        <w:tc>
          <w:tcPr>
            <w:tcW w:type="dxa" w:w="2448"/>
            <w:vAlign w:val="top"/>
            <w:tcMar>
              <w:top w:w="80" w:type="dxa"/>
              <w:start w:w="90" w:type="dxa"/>
              <w:bottom w:w="80" w:type="dxa"/>
              <w:end w:w="90" w:type="dxa"/>
            </w:tcMar>
          </w:tcPr>
          <w:p>
            <w:r>
              <w:rPr>
                <w:sz w:val="17"/>
              </w:rPr>
              <w:t>Document owner</w:t>
            </w:r>
          </w:p>
        </w:tc>
        <w:tc>
          <w:tcPr>
            <w:tcW w:type="dxa" w:w="7776"/>
            <w:vAlign w:val="top"/>
            <w:tcMar>
              <w:top w:w="80" w:type="dxa"/>
              <w:start w:w="90" w:type="dxa"/>
              <w:bottom w:w="80" w:type="dxa"/>
              <w:end w:w="90" w:type="dxa"/>
            </w:tcMar>
          </w:tcPr>
          <w:p>
            <w:r>
              <w:rPr>
                <w:sz w:val="17"/>
              </w:rPr>
              <w:t>Enterprise Ontology / Knowledge Graph Architecture</w:t>
            </w:r>
          </w:p>
        </w:tc>
      </w:tr>
      <w:tr>
        <w:tc>
          <w:tcPr>
            <w:tcW w:type="dxa" w:w="2448"/>
            <w:vAlign w:val="top"/>
            <w:tcMar>
              <w:top w:w="80" w:type="dxa"/>
              <w:start w:w="90" w:type="dxa"/>
              <w:bottom w:w="80" w:type="dxa"/>
              <w:end w:w="90" w:type="dxa"/>
            </w:tcMar>
          </w:tcPr>
          <w:p>
            <w:r>
              <w:rPr>
                <w:sz w:val="17"/>
              </w:rPr>
              <w:t>Intended audience</w:t>
            </w:r>
          </w:p>
        </w:tc>
        <w:tc>
          <w:tcPr>
            <w:tcW w:type="dxa" w:w="7776"/>
            <w:vAlign w:val="top"/>
            <w:tcMar>
              <w:top w:w="80" w:type="dxa"/>
              <w:start w:w="90" w:type="dxa"/>
              <w:bottom w:w="80" w:type="dxa"/>
              <w:end w:w="90" w:type="dxa"/>
            </w:tcMar>
          </w:tcPr>
          <w:p>
            <w:r>
              <w:rPr>
                <w:sz w:val="17"/>
              </w:rPr>
              <w:t>Ontology architects, ontology engineers, domain SMEs, data architects, application teams, data product teams, platform engineers and reviewers</w:t>
            </w:r>
          </w:p>
        </w:tc>
      </w:tr>
      <w:tr>
        <w:tc>
          <w:tcPr>
            <w:tcW w:type="dxa" w:w="2448"/>
            <w:vAlign w:val="top"/>
            <w:tcMar>
              <w:top w:w="80" w:type="dxa"/>
              <w:start w:w="90" w:type="dxa"/>
              <w:bottom w:w="80" w:type="dxa"/>
              <w:end w:w="90" w:type="dxa"/>
            </w:tcMar>
          </w:tcPr>
          <w:p>
            <w:r>
              <w:rPr>
                <w:sz w:val="17"/>
              </w:rPr>
              <w:t>Normative language</w:t>
            </w:r>
          </w:p>
        </w:tc>
        <w:tc>
          <w:tcPr>
            <w:tcW w:type="dxa" w:w="7776"/>
            <w:vAlign w:val="top"/>
            <w:tcMar>
              <w:top w:w="80" w:type="dxa"/>
              <w:start w:w="90" w:type="dxa"/>
              <w:bottom w:w="80" w:type="dxa"/>
              <w:end w:w="90" w:type="dxa"/>
            </w:tcMar>
          </w:tcPr>
          <w:p>
            <w:r>
              <w:rPr>
                <w:sz w:val="17"/>
              </w:rPr>
              <w:t>MUST = mandatory; SHOULD = expected unless an approved exception exists; MAY = optional</w:t>
            </w:r>
          </w:p>
        </w:tc>
      </w:tr>
      <w:tr>
        <w:tc>
          <w:tcPr>
            <w:tcW w:type="dxa" w:w="2448"/>
            <w:vAlign w:val="top"/>
            <w:tcMar>
              <w:top w:w="80" w:type="dxa"/>
              <w:start w:w="90" w:type="dxa"/>
              <w:bottom w:w="80" w:type="dxa"/>
              <w:end w:w="90" w:type="dxa"/>
            </w:tcMar>
          </w:tcPr>
          <w:p>
            <w:r>
              <w:rPr>
                <w:sz w:val="17"/>
              </w:rPr>
              <w:t>Canonical authoring format</w:t>
            </w:r>
          </w:p>
        </w:tc>
        <w:tc>
          <w:tcPr>
            <w:tcW w:type="dxa" w:w="7776"/>
            <w:vAlign w:val="top"/>
            <w:tcMar>
              <w:top w:w="80" w:type="dxa"/>
              <w:start w:w="90" w:type="dxa"/>
              <w:bottom w:w="80" w:type="dxa"/>
              <w:end w:w="90" w:type="dxa"/>
            </w:tcMar>
          </w:tcPr>
          <w:p>
            <w:r>
              <w:rPr>
                <w:sz w:val="17"/>
              </w:rPr>
              <w:t>Turtle (.ttl)</w:t>
            </w:r>
          </w:p>
        </w:tc>
      </w:tr>
      <w:tr>
        <w:tc>
          <w:tcPr>
            <w:tcW w:type="dxa" w:w="2448"/>
            <w:vAlign w:val="top"/>
            <w:tcMar>
              <w:top w:w="80" w:type="dxa"/>
              <w:start w:w="90" w:type="dxa"/>
              <w:bottom w:w="80" w:type="dxa"/>
              <w:end w:w="90" w:type="dxa"/>
            </w:tcMar>
          </w:tcPr>
          <w:p>
            <w:r>
              <w:rPr>
                <w:sz w:val="17"/>
              </w:rPr>
              <w:t>Primary namespace host</w:t>
            </w:r>
          </w:p>
        </w:tc>
        <w:tc>
          <w:tcPr>
            <w:tcW w:type="dxa" w:w="7776"/>
            <w:vAlign w:val="top"/>
            <w:tcMar>
              <w:top w:w="80" w:type="dxa"/>
              <w:start w:w="90" w:type="dxa"/>
              <w:bottom w:w="80" w:type="dxa"/>
              <w:end w:w="90" w:type="dxa"/>
            </w:tcMar>
          </w:tcPr>
          <w:p>
            <w:r>
              <w:rPr>
                <w:sz w:val="17"/>
              </w:rPr>
              <w:t>https://data.chubb.com/</w:t>
            </w:r>
          </w:p>
        </w:tc>
      </w:tr>
      <w:tr>
        <w:tc>
          <w:tcPr>
            <w:tcW w:type="dxa" w:w="2448"/>
            <w:vAlign w:val="top"/>
            <w:tcMar>
              <w:top w:w="80" w:type="dxa"/>
              <w:start w:w="90" w:type="dxa"/>
              <w:bottom w:w="80" w:type="dxa"/>
              <w:end w:w="90" w:type="dxa"/>
            </w:tcMar>
          </w:tcPr>
          <w:p>
            <w:r>
              <w:rPr>
                <w:sz w:val="17"/>
              </w:rPr>
              <w:t>Review cycle</w:t>
            </w:r>
          </w:p>
        </w:tc>
        <w:tc>
          <w:tcPr>
            <w:tcW w:type="dxa" w:w="7776"/>
            <w:vAlign w:val="top"/>
            <w:tcMar>
              <w:top w:w="80" w:type="dxa"/>
              <w:start w:w="90" w:type="dxa"/>
              <w:bottom w:w="80" w:type="dxa"/>
              <w:end w:w="90" w:type="dxa"/>
            </w:tcMar>
          </w:tcPr>
          <w:p>
            <w:r>
              <w:rPr>
                <w:sz w:val="17"/>
              </w:rPr>
              <w:t>At least annually, and whenever foundational namespace or governance policy changes</w:t>
            </w:r>
          </w:p>
        </w:tc>
      </w:tr>
      <w:tr>
        <w:tc>
          <w:tcPr>
            <w:tcW w:type="dxa" w:w="2448"/>
            <w:vAlign w:val="top"/>
            <w:tcMar>
              <w:top w:w="80" w:type="dxa"/>
              <w:start w:w="90" w:type="dxa"/>
              <w:bottom w:w="80" w:type="dxa"/>
              <w:end w:w="90" w:type="dxa"/>
            </w:tcMar>
          </w:tcPr>
          <w:p>
            <w:r>
              <w:rPr>
                <w:sz w:val="17"/>
              </w:rPr>
              <w:t>Source alignment</w:t>
            </w:r>
          </w:p>
        </w:tc>
        <w:tc>
          <w:tcPr>
            <w:tcW w:type="dxa" w:w="7776"/>
            <w:vAlign w:val="top"/>
            <w:tcMar>
              <w:top w:w="80" w:type="dxa"/>
              <w:start w:w="90" w:type="dxa"/>
              <w:bottom w:w="80" w:type="dxa"/>
              <w:end w:w="90" w:type="dxa"/>
            </w:tcMar>
          </w:tcPr>
          <w:p>
            <w:r>
              <w:rPr>
                <w:sz w:val="17"/>
              </w:rPr>
              <w:t>Uploaded namespace policy, artifact organization design, modularization, versioning, OWL/SHACL guidance, controlled-vocabulary guidance and extension authoring guide</w:t>
            </w:r>
          </w:p>
        </w:tc>
      </w:tr>
    </w:tbl>
    <w:p>
      <w:pPr>
        <w:spacing w:after="20"/>
      </w:pPr>
    </w:p>
    <w:p>
      <w:r>
        <w:rPr>
          <w:b/>
        </w:rPr>
        <w:t xml:space="preserve">External standards baseline. </w:t>
      </w:r>
      <w:r>
        <w:t>This standard is designed to remain compatible with the W3C RDF, RDFS, OWL 2, SKOS, SHACL and related semantic-web standards. As of August 2026, RDF 1.2 and SHACL 1.2 Core are current W3C Recommendations, while OWL 2 remains the established ontology-language Recommendation.</w:t>
      </w:r>
    </w:p>
    <w:p>
      <w:pPr>
        <w:pStyle w:val="Heading1"/>
      </w:pPr>
      <w:r>
        <w:t>Contents</w:t>
      </w:r>
    </w:p>
    <w:p>
      <w:pPr>
        <w:pStyle w:val="ListBullet"/>
        <w:spacing w:after="40"/>
      </w:pPr>
      <w:r>
        <w:t>1. Purpose and Scope</w:t>
      </w:r>
    </w:p>
    <w:p>
      <w:pPr>
        <w:pStyle w:val="ListBullet"/>
        <w:spacing w:after="40"/>
      </w:pPr>
      <w:r>
        <w:t>2. Non-Negotiable Engineering Principles</w:t>
      </w:r>
    </w:p>
    <w:p>
      <w:pPr>
        <w:pStyle w:val="ListBullet"/>
        <w:spacing w:after="40"/>
      </w:pPr>
      <w:r>
        <w:t>3. Semantic Artifact Model</w:t>
      </w:r>
    </w:p>
    <w:p>
      <w:pPr>
        <w:pStyle w:val="ListBullet"/>
        <w:spacing w:after="40"/>
      </w:pPr>
      <w:r>
        <w:t>4. Standard Repository and Directory Structure</w:t>
      </w:r>
    </w:p>
    <w:p>
      <w:pPr>
        <w:pStyle w:val="ListBullet"/>
        <w:spacing w:after="40"/>
      </w:pPr>
      <w:r>
        <w:t>5. Namespace and IRI Policy</w:t>
      </w:r>
    </w:p>
    <w:p>
      <w:pPr>
        <w:pStyle w:val="ListBullet"/>
        <w:spacing w:after="40"/>
      </w:pPr>
      <w:r>
        <w:t>6. Prefix Policy</w:t>
      </w:r>
    </w:p>
    <w:p>
      <w:pPr>
        <w:pStyle w:val="ListBullet"/>
        <w:spacing w:after="40"/>
      </w:pPr>
      <w:r>
        <w:t>7. Ontology Module Design and Import Rules</w:t>
      </w:r>
    </w:p>
    <w:p>
      <w:pPr>
        <w:pStyle w:val="ListBullet"/>
        <w:spacing w:after="40"/>
      </w:pPr>
      <w:r>
        <w:t>8. Naming Conventions for Classes, Properties and Individuals</w:t>
      </w:r>
    </w:p>
    <w:p>
      <w:pPr>
        <w:pStyle w:val="ListBullet"/>
        <w:spacing w:after="40"/>
      </w:pPr>
      <w:r>
        <w:t>9. OWL and RDFS Modeling Rules</w:t>
      </w:r>
    </w:p>
    <w:p>
      <w:pPr>
        <w:pStyle w:val="ListBullet"/>
        <w:spacing w:after="40"/>
      </w:pPr>
      <w:r>
        <w:t>10. SHACL Validation Standard</w:t>
      </w:r>
    </w:p>
    <w:p>
      <w:pPr>
        <w:pStyle w:val="ListBullet"/>
        <w:spacing w:after="40"/>
      </w:pPr>
      <w:r>
        <w:t>11. Controlled Vocabulary and SKOS Standard</w:t>
      </w:r>
    </w:p>
    <w:p>
      <w:pPr>
        <w:pStyle w:val="ListBullet"/>
        <w:spacing w:after="40"/>
      </w:pPr>
      <w:r>
        <w:t>12. External Ontology Reuse and Mapping</w:t>
      </w:r>
    </w:p>
    <w:p>
      <w:pPr>
        <w:pStyle w:val="ListBullet"/>
        <w:spacing w:after="40"/>
      </w:pPr>
      <w:r>
        <w:t>13. Competency Questions and Requirements Traceability</w:t>
      </w:r>
    </w:p>
    <w:p>
      <w:pPr>
        <w:pStyle w:val="ListBullet"/>
        <w:spacing w:after="40"/>
      </w:pPr>
      <w:r>
        <w:t>14. Sample Data and A-Box Rules</w:t>
      </w:r>
    </w:p>
    <w:p>
      <w:pPr>
        <w:pStyle w:val="ListBullet"/>
        <w:spacing w:after="40"/>
      </w:pPr>
      <w:r>
        <w:t>15. Metadata, Documentation and Provenance</w:t>
      </w:r>
    </w:p>
    <w:p>
      <w:pPr>
        <w:pStyle w:val="ListBullet"/>
        <w:spacing w:after="40"/>
      </w:pPr>
      <w:r>
        <w:t>16. Versioning, Deprecation and Change Management</w:t>
      </w:r>
    </w:p>
    <w:p>
      <w:pPr>
        <w:pStyle w:val="ListBullet"/>
        <w:spacing w:after="40"/>
      </w:pPr>
      <w:r>
        <w:t>17. Git, Branching and Pull Request Standard</w:t>
      </w:r>
    </w:p>
    <w:p>
      <w:pPr>
        <w:pStyle w:val="ListBullet"/>
        <w:spacing w:after="40"/>
      </w:pPr>
      <w:r>
        <w:t>18. Automated Quality Gates and CI/CD</w:t>
      </w:r>
    </w:p>
    <w:p>
      <w:pPr>
        <w:pStyle w:val="ListBullet"/>
        <w:spacing w:after="40"/>
      </w:pPr>
      <w:r>
        <w:t>19. Release and Publishing Standard</w:t>
      </w:r>
    </w:p>
    <w:p>
      <w:pPr>
        <w:pStyle w:val="ListBullet"/>
        <w:spacing w:after="40"/>
      </w:pPr>
      <w:r>
        <w:t>20. Security, Privacy and Data Handling</w:t>
      </w:r>
    </w:p>
    <w:p>
      <w:pPr>
        <w:pStyle w:val="ListBullet"/>
        <w:spacing w:after="40"/>
      </w:pPr>
      <w:r>
        <w:t>21. Governance Roles and Decision Rights</w:t>
      </w:r>
    </w:p>
    <w:p>
      <w:pPr>
        <w:pStyle w:val="ListBullet"/>
        <w:spacing w:after="40"/>
      </w:pPr>
      <w:r>
        <w:t>22. Standard Development Workflow</w:t>
      </w:r>
    </w:p>
    <w:p>
      <w:pPr>
        <w:pStyle w:val="ListBullet"/>
        <w:spacing w:after="40"/>
      </w:pPr>
      <w:r>
        <w:t>23. Definition of Ready and Definition of Done</w:t>
      </w:r>
    </w:p>
    <w:p>
      <w:pPr>
        <w:pStyle w:val="ListBullet"/>
        <w:spacing w:after="40"/>
      </w:pPr>
      <w:r>
        <w:t>24. Anti-Patterns Prohibited by the Standard</w:t>
      </w:r>
    </w:p>
    <w:p>
      <w:pPr>
        <w:pStyle w:val="ListBullet"/>
        <w:spacing w:after="40"/>
      </w:pPr>
      <w:r>
        <w:t>25. Exception and Waiver Process</w:t>
      </w:r>
    </w:p>
    <w:p>
      <w:pPr>
        <w:pStyle w:val="ListBullet"/>
        <w:spacing w:after="40"/>
      </w:pPr>
      <w:r>
        <w:t>Appendix A. Canonical Turtle Module Template</w:t>
      </w:r>
    </w:p>
    <w:p>
      <w:pPr>
        <w:pStyle w:val="ListBullet"/>
        <w:spacing w:after="40"/>
      </w:pPr>
      <w:r>
        <w:t>Appendix B. Canonical SHACL Template</w:t>
      </w:r>
    </w:p>
    <w:p>
      <w:pPr>
        <w:pStyle w:val="ListBullet"/>
        <w:spacing w:after="40"/>
      </w:pPr>
      <w:r>
        <w:t>Appendix C. Canonical SKOS Template</w:t>
      </w:r>
    </w:p>
    <w:p>
      <w:pPr>
        <w:pStyle w:val="ListBullet"/>
        <w:spacing w:after="40"/>
      </w:pPr>
      <w:r>
        <w:t>Appendix D. Pull Request Review Checklist</w:t>
      </w:r>
    </w:p>
    <w:p>
      <w:pPr>
        <w:pStyle w:val="ListBullet"/>
        <w:spacing w:after="40"/>
      </w:pPr>
      <w:r>
        <w:t>Appendix E. Quick Reference for the Team</w:t>
      </w:r>
    </w:p>
    <w:p>
      <w:pPr>
        <w:pStyle w:val="Heading1"/>
      </w:pPr>
      <w:r>
        <w:t>1. Purpose and Scope</w:t>
      </w:r>
    </w:p>
    <w:p>
      <w:r>
        <w:t>This document defines the mandatory organizational standard for designing, naming, structuring, validating, reviewing, versioning, publishing and extending enterprise ontologies and related semantic artifacts. The objective is to make every ontology module predictable, reusable, machine-verifiable and safe for long-term enterprise use.</w:t>
      </w:r>
    </w:p>
    <w:p>
      <w:pPr>
        <w:pStyle w:val="ListBullet"/>
        <w:spacing w:after="40"/>
      </w:pPr>
      <w:r>
        <w:t>Apply this standard to all new enterprise ontology modules, domain extensions, taxonomies, SKOS concept schemes, SHACL shape graphs, mappings, semantic API contracts and sample RDF datasets.</w:t>
      </w:r>
    </w:p>
    <w:p>
      <w:pPr>
        <w:pStyle w:val="ListBullet"/>
        <w:spacing w:after="40"/>
      </w:pPr>
      <w:r>
        <w:t>Apply the same rules whether the ontology is authored manually, generated with LLM assistance, imported from a vendor, or created from an existing data model.</w:t>
      </w:r>
    </w:p>
    <w:p>
      <w:pPr>
        <w:pStyle w:val="ListBullet"/>
        <w:spacing w:after="40"/>
      </w:pPr>
      <w:r>
        <w:t>Do not treat an ontology as an application-specific schema. The ontology models stable domain meaning. Message schemas, database schemas and API payloads are projections or mappings of that meaning.</w:t>
      </w:r>
    </w:p>
    <w:p>
      <w:pPr>
        <w:pStyle w:val="ListBullet"/>
        <w:spacing w:after="40"/>
      </w:pPr>
      <w:r>
        <w:t>Every team creating semantic terms is responsible for preserving global IRI stability and namespace ownership. An IRI is an enterprise identifier, not a temporary code artifact.</w:t>
      </w:r>
    </w:p>
    <w:p>
      <w:pPr>
        <w:pStyle w:val="ListBullet"/>
        <w:spacing w:after="40"/>
      </w:pPr>
      <w:r>
        <w:t>The standard is intentionally strict at the foundation and namespace layers because these choices are expensive to reverse after downstream systems start using them.</w:t>
      </w:r>
    </w:p>
    <w:p>
      <w:pPr>
        <w:pStyle w:val="Heading1"/>
      </w:pPr>
      <w:r>
        <w:t>2. Non-Negotiable Engineering Principles</w:t>
      </w:r>
    </w:p>
    <w:p>
      <w:pPr>
        <w:spacing w:after="80"/>
      </w:pPr>
      <w:r>
        <w:rPr>
          <w:b/>
          <w:color w:val="1F4E78"/>
        </w:rPr>
        <w:t xml:space="preserve">P-1  MUST - One semantic source of truth: </w:t>
      </w:r>
      <w:r>
        <w:t>A semantic fact is authored once. Derived JSON-LD contexts, documentation, diagrams, RDF/XML exports and API representations are generated from the authoritative source rather than maintained independently.</w:t>
      </w:r>
    </w:p>
    <w:p>
      <w:pPr>
        <w:spacing w:after="80"/>
      </w:pPr>
      <w:r>
        <w:rPr>
          <w:b/>
          <w:color w:val="1F4E78"/>
        </w:rPr>
        <w:t xml:space="preserve">P-2  MUST - Meaning, validation and data are separate: </w:t>
      </w:r>
      <w:r>
        <w:t>OWL/RDFS define meaning and inference; SHACL defines required data quality and structural constraints; A-Box graphs contain instances. Never use one artifact to impersonate another.</w:t>
      </w:r>
    </w:p>
    <w:p>
      <w:pPr>
        <w:spacing w:after="80"/>
      </w:pPr>
      <w:r>
        <w:rPr>
          <w:b/>
          <w:color w:val="1F4E78"/>
        </w:rPr>
        <w:t xml:space="preserve">P-3  MUST - Stable identity over file convenience: </w:t>
      </w:r>
      <w:r>
        <w:t>IRIs survive file moves, repository reorganizations and software rewrites. File paths may change; published IRIs do not.</w:t>
      </w:r>
    </w:p>
    <w:p>
      <w:pPr>
        <w:spacing w:after="80"/>
      </w:pPr>
      <w:r>
        <w:rPr>
          <w:b/>
          <w:color w:val="1F4E78"/>
        </w:rPr>
        <w:t xml:space="preserve">P-4  MUST - Domain model, not message model: </w:t>
      </w:r>
      <w:r>
        <w:t>Model real business concepts and relationships, not JSON nesting, Kafka envelopes, database columns or UI fields.</w:t>
      </w:r>
    </w:p>
    <w:p>
      <w:pPr>
        <w:spacing w:after="80"/>
      </w:pPr>
      <w:r>
        <w:rPr>
          <w:b/>
          <w:color w:val="1F4E78"/>
        </w:rPr>
        <w:t xml:space="preserve">P-5  MUST - Competency-question driven: </w:t>
      </w:r>
      <w:r>
        <w:t>Every significant class, relationship, shape and mapping must be justified by a business question, inference need, interoperability requirement or data-quality requirement.</w:t>
      </w:r>
    </w:p>
    <w:p>
      <w:pPr>
        <w:spacing w:after="80"/>
      </w:pPr>
      <w:r>
        <w:rPr>
          <w:b/>
          <w:color w:val="1F4E78"/>
        </w:rPr>
        <w:t xml:space="preserve">P-6  MUST - Reuse before minting: </w:t>
      </w:r>
      <w:r>
        <w:t>Search approved internal modules and recognized external vocabularies before creating a new class or property.</w:t>
      </w:r>
    </w:p>
    <w:p>
      <w:pPr>
        <w:spacing w:after="80"/>
      </w:pPr>
      <w:r>
        <w:rPr>
          <w:b/>
          <w:color w:val="1F4E78"/>
        </w:rPr>
        <w:t xml:space="preserve">P-7  MUST - Modular, layered and acyclic: </w:t>
      </w:r>
      <w:r>
        <w:t>Small modules have explicit ownership, coherent scope and directed imports. Circular imports are prohibited.</w:t>
      </w:r>
    </w:p>
    <w:p>
      <w:pPr>
        <w:spacing w:after="80"/>
      </w:pPr>
      <w:r>
        <w:rPr>
          <w:b/>
          <w:color w:val="1F4E78"/>
        </w:rPr>
        <w:t xml:space="preserve">P-8  MUST - Extend from your namespace: </w:t>
      </w:r>
      <w:r>
        <w:t>A team never creates new terms inside a namespace it does not own. Extend through imports, subclassing, subproperties or mappings.</w:t>
      </w:r>
    </w:p>
    <w:p>
      <w:pPr>
        <w:spacing w:after="80"/>
      </w:pPr>
      <w:r>
        <w:rPr>
          <w:b/>
          <w:color w:val="1F4E78"/>
        </w:rPr>
        <w:t xml:space="preserve">P-9  MUST - Deprecate; do not delete or recycle: </w:t>
      </w:r>
      <w:r>
        <w:t>Once an IRI is published, its identity is permanent. Retired terms remain resolvable and are marked deprecated.</w:t>
      </w:r>
    </w:p>
    <w:p>
      <w:pPr>
        <w:spacing w:after="80"/>
      </w:pPr>
      <w:r>
        <w:rPr>
          <w:b/>
          <w:color w:val="1F4E78"/>
        </w:rPr>
        <w:t xml:space="preserve">P-10  MUST - Automate conformance: </w:t>
      </w:r>
      <w:r>
        <w:t>Syntax, namespace rules, reasoning, SHACL validation, SKOS integrity, documentation completeness and CQ tests must run in CI. Human review is not a substitute for machine checks.</w:t>
      </w:r>
    </w:p>
    <w:p>
      <w:pPr>
        <w:pStyle w:val="Heading1"/>
      </w:pPr>
      <w:r>
        <w:t>3. Semantic Artifact Model</w:t>
      </w:r>
    </w:p>
    <w:p>
      <w:r>
        <w:t>The repository is organized by artifact type because each artifact has a different logical purpose, import behavior and lifecycle. A shared filename stem reconnects the artifacts belonging to the same domain module.</w:t>
      </w:r>
    </w:p>
    <w:tbl>
      <w:tblPr>
        <w:tblStyle w:val="TableGrid"/>
        <w:tblW w:type="auto" w:w="0"/>
        <w:jc w:val="center"/>
        <w:tblLook w:firstColumn="1" w:firstRow="1" w:lastColumn="0" w:lastRow="0" w:noHBand="0" w:noVBand="1" w:val="04A0"/>
      </w:tblPr>
      <w:tblGrid>
        <w:gridCol w:w="2016"/>
        <w:gridCol w:w="2016"/>
        <w:gridCol w:w="2016"/>
        <w:gridCol w:w="2016"/>
        <w:gridCol w:w="2016"/>
      </w:tblGrid>
      <w:tr>
        <w:trPr>
          <w:tblHeader w:val="true"/>
        </w:trPr>
        <w:tc>
          <w:tcPr>
            <w:tcW w:type="dxa" w:w="1656"/>
            <w:shd w:fill="1F4E78"/>
            <w:vAlign w:val="center"/>
            <w:tcMar>
              <w:top w:w="80" w:type="dxa"/>
              <w:start w:w="90" w:type="dxa"/>
              <w:bottom w:w="80" w:type="dxa"/>
              <w:end w:w="90" w:type="dxa"/>
            </w:tcMar>
          </w:tcPr>
          <w:p>
            <w:r>
              <w:rPr>
                <w:b/>
                <w:color w:val="FFFFFF"/>
                <w:sz w:val="18"/>
              </w:rPr>
              <w:t>Artifact</w:t>
            </w:r>
          </w:p>
        </w:tc>
        <w:tc>
          <w:tcPr>
            <w:tcW w:type="dxa" w:w="2592"/>
            <w:shd w:fill="1F4E78"/>
            <w:vAlign w:val="center"/>
            <w:tcMar>
              <w:top w:w="80" w:type="dxa"/>
              <w:start w:w="90" w:type="dxa"/>
              <w:bottom w:w="80" w:type="dxa"/>
              <w:end w:w="90" w:type="dxa"/>
            </w:tcMar>
          </w:tcPr>
          <w:p>
            <w:r>
              <w:rPr>
                <w:b/>
                <w:color w:val="FFFFFF"/>
                <w:sz w:val="18"/>
              </w:rPr>
              <w:t>Purpose</w:t>
            </w:r>
          </w:p>
        </w:tc>
        <w:tc>
          <w:tcPr>
            <w:tcW w:type="dxa" w:w="2304"/>
            <w:shd w:fill="1F4E78"/>
            <w:vAlign w:val="center"/>
            <w:tcMar>
              <w:top w:w="80" w:type="dxa"/>
              <w:start w:w="90" w:type="dxa"/>
              <w:bottom w:w="80" w:type="dxa"/>
              <w:end w:w="90" w:type="dxa"/>
            </w:tcMar>
          </w:tcPr>
          <w:p>
            <w:r>
              <w:rPr>
                <w:b/>
                <w:color w:val="FFFFFF"/>
                <w:sz w:val="18"/>
              </w:rPr>
              <w:t>Canonical technology</w:t>
            </w:r>
          </w:p>
        </w:tc>
        <w:tc>
          <w:tcPr>
            <w:tcW w:type="dxa" w:w="1512"/>
            <w:shd w:fill="1F4E78"/>
            <w:vAlign w:val="center"/>
            <w:tcMar>
              <w:top w:w="80" w:type="dxa"/>
              <w:start w:w="90" w:type="dxa"/>
              <w:bottom w:w="80" w:type="dxa"/>
              <w:end w:w="90" w:type="dxa"/>
            </w:tcMar>
          </w:tcPr>
          <w:p>
            <w:r>
              <w:rPr>
                <w:b/>
                <w:color w:val="FFFFFF"/>
                <w:sz w:val="18"/>
              </w:rPr>
              <w:t>Authored or generated</w:t>
            </w:r>
          </w:p>
        </w:tc>
        <w:tc>
          <w:tcPr>
            <w:tcW w:type="dxa" w:w="2448"/>
            <w:shd w:fill="1F4E78"/>
            <w:vAlign w:val="center"/>
            <w:tcMar>
              <w:top w:w="80" w:type="dxa"/>
              <w:start w:w="90" w:type="dxa"/>
              <w:bottom w:w="80" w:type="dxa"/>
              <w:end w:w="90" w:type="dxa"/>
            </w:tcMar>
          </w:tcPr>
          <w:p>
            <w:r>
              <w:rPr>
                <w:b/>
                <w:color w:val="FFFFFF"/>
                <w:sz w:val="18"/>
              </w:rPr>
              <w:t>Import rule</w:t>
            </w:r>
          </w:p>
        </w:tc>
      </w:tr>
      <w:tr>
        <w:tc>
          <w:tcPr>
            <w:tcW w:type="dxa" w:w="1656"/>
            <w:vAlign w:val="top"/>
            <w:tcMar>
              <w:top w:w="80" w:type="dxa"/>
              <w:start w:w="90" w:type="dxa"/>
              <w:bottom w:w="80" w:type="dxa"/>
              <w:end w:w="90" w:type="dxa"/>
            </w:tcMar>
          </w:tcPr>
          <w:p>
            <w:r>
              <w:rPr>
                <w:sz w:val="17"/>
              </w:rPr>
              <w:t>Ontology / T-Box</w:t>
            </w:r>
          </w:p>
        </w:tc>
        <w:tc>
          <w:tcPr>
            <w:tcW w:type="dxa" w:w="2592"/>
            <w:vAlign w:val="top"/>
            <w:tcMar>
              <w:top w:w="80" w:type="dxa"/>
              <w:start w:w="90" w:type="dxa"/>
              <w:bottom w:w="80" w:type="dxa"/>
              <w:end w:w="90" w:type="dxa"/>
            </w:tcMar>
          </w:tcPr>
          <w:p>
            <w:r>
              <w:rPr>
                <w:sz w:val="17"/>
              </w:rPr>
              <w:t>Domain meaning, classification and inference</w:t>
            </w:r>
          </w:p>
        </w:tc>
        <w:tc>
          <w:tcPr>
            <w:tcW w:type="dxa" w:w="2304"/>
            <w:vAlign w:val="top"/>
            <w:tcMar>
              <w:top w:w="80" w:type="dxa"/>
              <w:start w:w="90" w:type="dxa"/>
              <w:bottom w:w="80" w:type="dxa"/>
              <w:end w:w="90" w:type="dxa"/>
            </w:tcMar>
          </w:tcPr>
          <w:p>
            <w:r>
              <w:rPr>
                <w:sz w:val="17"/>
              </w:rPr>
              <w:t>RDFS + OWL 2 DL in Turtle</w:t>
            </w:r>
          </w:p>
        </w:tc>
        <w:tc>
          <w:tcPr>
            <w:tcW w:type="dxa" w:w="1512"/>
            <w:vAlign w:val="top"/>
            <w:tcMar>
              <w:top w:w="80" w:type="dxa"/>
              <w:start w:w="90" w:type="dxa"/>
              <w:bottom w:w="80" w:type="dxa"/>
              <w:end w:w="90" w:type="dxa"/>
            </w:tcMar>
          </w:tcPr>
          <w:p>
            <w:r>
              <w:rPr>
                <w:sz w:val="17"/>
              </w:rPr>
              <w:t>Authored</w:t>
            </w:r>
          </w:p>
        </w:tc>
        <w:tc>
          <w:tcPr>
            <w:tcW w:type="dxa" w:w="2448"/>
            <w:vAlign w:val="top"/>
            <w:tcMar>
              <w:top w:w="80" w:type="dxa"/>
              <w:start w:w="90" w:type="dxa"/>
              <w:bottom w:w="80" w:type="dxa"/>
              <w:end w:w="90" w:type="dxa"/>
            </w:tcMar>
          </w:tcPr>
          <w:p>
            <w:r>
              <w:rPr>
                <w:sz w:val="17"/>
              </w:rPr>
              <w:t>May import other ontology modules only</w:t>
            </w:r>
          </w:p>
        </w:tc>
      </w:tr>
      <w:tr>
        <w:tc>
          <w:tcPr>
            <w:tcW w:type="dxa" w:w="1656"/>
            <w:vAlign w:val="top"/>
            <w:tcMar>
              <w:top w:w="80" w:type="dxa"/>
              <w:start w:w="90" w:type="dxa"/>
              <w:bottom w:w="80" w:type="dxa"/>
              <w:end w:w="90" w:type="dxa"/>
            </w:tcMar>
          </w:tcPr>
          <w:p>
            <w:r>
              <w:rPr>
                <w:sz w:val="17"/>
              </w:rPr>
              <w:t>Vocabulary</w:t>
            </w:r>
          </w:p>
        </w:tc>
        <w:tc>
          <w:tcPr>
            <w:tcW w:type="dxa" w:w="2592"/>
            <w:vAlign w:val="top"/>
            <w:tcMar>
              <w:top w:w="80" w:type="dxa"/>
              <w:start w:w="90" w:type="dxa"/>
              <w:bottom w:w="80" w:type="dxa"/>
              <w:end w:w="90" w:type="dxa"/>
            </w:tcMar>
          </w:tcPr>
          <w:p>
            <w:r>
              <w:rPr>
                <w:sz w:val="17"/>
              </w:rPr>
              <w:t>Governed code lists, taxonomies and classifications</w:t>
            </w:r>
          </w:p>
        </w:tc>
        <w:tc>
          <w:tcPr>
            <w:tcW w:type="dxa" w:w="2304"/>
            <w:vAlign w:val="top"/>
            <w:tcMar>
              <w:top w:w="80" w:type="dxa"/>
              <w:start w:w="90" w:type="dxa"/>
              <w:bottom w:w="80" w:type="dxa"/>
              <w:end w:w="90" w:type="dxa"/>
            </w:tcMar>
          </w:tcPr>
          <w:p>
            <w:r>
              <w:rPr>
                <w:sz w:val="17"/>
              </w:rPr>
              <w:t>SKOS in Turtle</w:t>
            </w:r>
          </w:p>
        </w:tc>
        <w:tc>
          <w:tcPr>
            <w:tcW w:type="dxa" w:w="1512"/>
            <w:vAlign w:val="top"/>
            <w:tcMar>
              <w:top w:w="80" w:type="dxa"/>
              <w:start w:w="90" w:type="dxa"/>
              <w:bottom w:w="80" w:type="dxa"/>
              <w:end w:w="90" w:type="dxa"/>
            </w:tcMar>
          </w:tcPr>
          <w:p>
            <w:r>
              <w:rPr>
                <w:sz w:val="17"/>
              </w:rPr>
              <w:t>Authored</w:t>
            </w:r>
          </w:p>
        </w:tc>
        <w:tc>
          <w:tcPr>
            <w:tcW w:type="dxa" w:w="2448"/>
            <w:vAlign w:val="top"/>
            <w:tcMar>
              <w:top w:w="80" w:type="dxa"/>
              <w:start w:w="90" w:type="dxa"/>
              <w:bottom w:w="80" w:type="dxa"/>
              <w:end w:w="90" w:type="dxa"/>
            </w:tcMar>
          </w:tcPr>
          <w:p>
            <w:r>
              <w:rPr>
                <w:sz w:val="17"/>
              </w:rPr>
              <w:t>Independent lifecycle; referenced by ontology/shapes</w:t>
            </w:r>
          </w:p>
        </w:tc>
      </w:tr>
      <w:tr>
        <w:tc>
          <w:tcPr>
            <w:tcW w:type="dxa" w:w="1656"/>
            <w:vAlign w:val="top"/>
            <w:tcMar>
              <w:top w:w="80" w:type="dxa"/>
              <w:start w:w="90" w:type="dxa"/>
              <w:bottom w:w="80" w:type="dxa"/>
              <w:end w:w="90" w:type="dxa"/>
            </w:tcMar>
          </w:tcPr>
          <w:p>
            <w:r>
              <w:rPr>
                <w:sz w:val="17"/>
              </w:rPr>
              <w:t>Shapes</w:t>
            </w:r>
          </w:p>
        </w:tc>
        <w:tc>
          <w:tcPr>
            <w:tcW w:type="dxa" w:w="2592"/>
            <w:vAlign w:val="top"/>
            <w:tcMar>
              <w:top w:w="80" w:type="dxa"/>
              <w:start w:w="90" w:type="dxa"/>
              <w:bottom w:w="80" w:type="dxa"/>
              <w:end w:w="90" w:type="dxa"/>
            </w:tcMar>
          </w:tcPr>
          <w:p>
            <w:r>
              <w:rPr>
                <w:sz w:val="17"/>
              </w:rPr>
              <w:t>Data quality, completeness and API/data-product constraints</w:t>
            </w:r>
          </w:p>
        </w:tc>
        <w:tc>
          <w:tcPr>
            <w:tcW w:type="dxa" w:w="2304"/>
            <w:vAlign w:val="top"/>
            <w:tcMar>
              <w:top w:w="80" w:type="dxa"/>
              <w:start w:w="90" w:type="dxa"/>
              <w:bottom w:w="80" w:type="dxa"/>
              <w:end w:w="90" w:type="dxa"/>
            </w:tcMar>
          </w:tcPr>
          <w:p>
            <w:r>
              <w:rPr>
                <w:sz w:val="17"/>
              </w:rPr>
              <w:t>SHACL Core; SPARQL constraints by exception</w:t>
            </w:r>
          </w:p>
        </w:tc>
        <w:tc>
          <w:tcPr>
            <w:tcW w:type="dxa" w:w="1512"/>
            <w:vAlign w:val="top"/>
            <w:tcMar>
              <w:top w:w="80" w:type="dxa"/>
              <w:start w:w="90" w:type="dxa"/>
              <w:bottom w:w="80" w:type="dxa"/>
              <w:end w:w="90" w:type="dxa"/>
            </w:tcMar>
          </w:tcPr>
          <w:p>
            <w:r>
              <w:rPr>
                <w:sz w:val="17"/>
              </w:rPr>
              <w:t>Authored</w:t>
            </w:r>
          </w:p>
        </w:tc>
        <w:tc>
          <w:tcPr>
            <w:tcW w:type="dxa" w:w="2448"/>
            <w:vAlign w:val="top"/>
            <w:tcMar>
              <w:top w:w="80" w:type="dxa"/>
              <w:start w:w="90" w:type="dxa"/>
              <w:bottom w:w="80" w:type="dxa"/>
              <w:end w:w="90" w:type="dxa"/>
            </w:tcMar>
          </w:tcPr>
          <w:p>
            <w:r>
              <w:rPr>
                <w:sz w:val="17"/>
              </w:rPr>
              <w:t>Never imported into the ontology T-Box</w:t>
            </w:r>
          </w:p>
        </w:tc>
      </w:tr>
      <w:tr>
        <w:tc>
          <w:tcPr>
            <w:tcW w:type="dxa" w:w="1656"/>
            <w:vAlign w:val="top"/>
            <w:tcMar>
              <w:top w:w="80" w:type="dxa"/>
              <w:start w:w="90" w:type="dxa"/>
              <w:bottom w:w="80" w:type="dxa"/>
              <w:end w:w="90" w:type="dxa"/>
            </w:tcMar>
          </w:tcPr>
          <w:p>
            <w:r>
              <w:rPr>
                <w:sz w:val="17"/>
              </w:rPr>
              <w:t>Competency questions</w:t>
            </w:r>
          </w:p>
        </w:tc>
        <w:tc>
          <w:tcPr>
            <w:tcW w:type="dxa" w:w="2592"/>
            <w:vAlign w:val="top"/>
            <w:tcMar>
              <w:top w:w="80" w:type="dxa"/>
              <w:start w:w="90" w:type="dxa"/>
              <w:bottom w:w="80" w:type="dxa"/>
              <w:end w:w="90" w:type="dxa"/>
            </w:tcMar>
          </w:tcPr>
          <w:p>
            <w:r>
              <w:rPr>
                <w:sz w:val="17"/>
              </w:rPr>
              <w:t>Business requirements and executable acceptance tests</w:t>
            </w:r>
          </w:p>
        </w:tc>
        <w:tc>
          <w:tcPr>
            <w:tcW w:type="dxa" w:w="2304"/>
            <w:vAlign w:val="top"/>
            <w:tcMar>
              <w:top w:w="80" w:type="dxa"/>
              <w:start w:w="90" w:type="dxa"/>
              <w:bottom w:w="80" w:type="dxa"/>
              <w:end w:w="90" w:type="dxa"/>
            </w:tcMar>
          </w:tcPr>
          <w:p>
            <w:r>
              <w:rPr>
                <w:sz w:val="17"/>
              </w:rPr>
              <w:t>RDF metadata + SPARQL</w:t>
            </w:r>
          </w:p>
        </w:tc>
        <w:tc>
          <w:tcPr>
            <w:tcW w:type="dxa" w:w="1512"/>
            <w:vAlign w:val="top"/>
            <w:tcMar>
              <w:top w:w="80" w:type="dxa"/>
              <w:start w:w="90" w:type="dxa"/>
              <w:bottom w:w="80" w:type="dxa"/>
              <w:end w:w="90" w:type="dxa"/>
            </w:tcMar>
          </w:tcPr>
          <w:p>
            <w:r>
              <w:rPr>
                <w:sz w:val="17"/>
              </w:rPr>
              <w:t>Authored</w:t>
            </w:r>
          </w:p>
        </w:tc>
        <w:tc>
          <w:tcPr>
            <w:tcW w:type="dxa" w:w="2448"/>
            <w:vAlign w:val="top"/>
            <w:tcMar>
              <w:top w:w="80" w:type="dxa"/>
              <w:start w:w="90" w:type="dxa"/>
              <w:bottom w:w="80" w:type="dxa"/>
              <w:end w:w="90" w:type="dxa"/>
            </w:tcMar>
          </w:tcPr>
          <w:p>
            <w:r>
              <w:rPr>
                <w:sz w:val="17"/>
              </w:rPr>
              <w:t>Tests ontology behavior; does not define domain terms</w:t>
            </w:r>
          </w:p>
        </w:tc>
      </w:tr>
      <w:tr>
        <w:tc>
          <w:tcPr>
            <w:tcW w:type="dxa" w:w="1656"/>
            <w:vAlign w:val="top"/>
            <w:tcMar>
              <w:top w:w="80" w:type="dxa"/>
              <w:start w:w="90" w:type="dxa"/>
              <w:bottom w:w="80" w:type="dxa"/>
              <w:end w:w="90" w:type="dxa"/>
            </w:tcMar>
          </w:tcPr>
          <w:p>
            <w:r>
              <w:rPr>
                <w:sz w:val="17"/>
              </w:rPr>
              <w:t>Samples / A-Box</w:t>
            </w:r>
          </w:p>
        </w:tc>
        <w:tc>
          <w:tcPr>
            <w:tcW w:type="dxa" w:w="2592"/>
            <w:vAlign w:val="top"/>
            <w:tcMar>
              <w:top w:w="80" w:type="dxa"/>
              <w:start w:w="90" w:type="dxa"/>
              <w:bottom w:w="80" w:type="dxa"/>
              <w:end w:w="90" w:type="dxa"/>
            </w:tcMar>
          </w:tcPr>
          <w:p>
            <w:r>
              <w:rPr>
                <w:sz w:val="17"/>
              </w:rPr>
              <w:t>Representative instance data and regression fixtures</w:t>
            </w:r>
          </w:p>
        </w:tc>
        <w:tc>
          <w:tcPr>
            <w:tcW w:type="dxa" w:w="2304"/>
            <w:vAlign w:val="top"/>
            <w:tcMar>
              <w:top w:w="80" w:type="dxa"/>
              <w:start w:w="90" w:type="dxa"/>
              <w:bottom w:w="80" w:type="dxa"/>
              <w:end w:w="90" w:type="dxa"/>
            </w:tcMar>
          </w:tcPr>
          <w:p>
            <w:r>
              <w:rPr>
                <w:sz w:val="17"/>
              </w:rPr>
              <w:t>RDF Turtle</w:t>
            </w:r>
          </w:p>
        </w:tc>
        <w:tc>
          <w:tcPr>
            <w:tcW w:type="dxa" w:w="1512"/>
            <w:vAlign w:val="top"/>
            <w:tcMar>
              <w:top w:w="80" w:type="dxa"/>
              <w:start w:w="90" w:type="dxa"/>
              <w:bottom w:w="80" w:type="dxa"/>
              <w:end w:w="90" w:type="dxa"/>
            </w:tcMar>
          </w:tcPr>
          <w:p>
            <w:r>
              <w:rPr>
                <w:sz w:val="17"/>
              </w:rPr>
              <w:t>Authored</w:t>
            </w:r>
          </w:p>
        </w:tc>
        <w:tc>
          <w:tcPr>
            <w:tcW w:type="dxa" w:w="2448"/>
            <w:vAlign w:val="top"/>
            <w:tcMar>
              <w:top w:w="80" w:type="dxa"/>
              <w:start w:w="90" w:type="dxa"/>
              <w:bottom w:w="80" w:type="dxa"/>
              <w:end w:w="90" w:type="dxa"/>
            </w:tcMar>
          </w:tcPr>
          <w:p>
            <w:r>
              <w:rPr>
                <w:sz w:val="17"/>
              </w:rPr>
              <w:t>Must not be imported by production ontology modules</w:t>
            </w:r>
          </w:p>
        </w:tc>
      </w:tr>
      <w:tr>
        <w:tc>
          <w:tcPr>
            <w:tcW w:type="dxa" w:w="1656"/>
            <w:vAlign w:val="top"/>
            <w:tcMar>
              <w:top w:w="80" w:type="dxa"/>
              <w:start w:w="90" w:type="dxa"/>
              <w:bottom w:w="80" w:type="dxa"/>
              <w:end w:w="90" w:type="dxa"/>
            </w:tcMar>
          </w:tcPr>
          <w:p>
            <w:r>
              <w:rPr>
                <w:sz w:val="17"/>
              </w:rPr>
              <w:t>Mappings</w:t>
            </w:r>
          </w:p>
        </w:tc>
        <w:tc>
          <w:tcPr>
            <w:tcW w:type="dxa" w:w="2592"/>
            <w:vAlign w:val="top"/>
            <w:tcMar>
              <w:top w:w="80" w:type="dxa"/>
              <w:start w:w="90" w:type="dxa"/>
              <w:bottom w:w="80" w:type="dxa"/>
              <w:end w:w="90" w:type="dxa"/>
            </w:tcMar>
          </w:tcPr>
          <w:p>
            <w:r>
              <w:rPr>
                <w:sz w:val="17"/>
              </w:rPr>
              <w:t>Alignment to external ontologies, source schemas and data products</w:t>
            </w:r>
          </w:p>
        </w:tc>
        <w:tc>
          <w:tcPr>
            <w:tcW w:type="dxa" w:w="2304"/>
            <w:vAlign w:val="top"/>
            <w:tcMar>
              <w:top w:w="80" w:type="dxa"/>
              <w:start w:w="90" w:type="dxa"/>
              <w:bottom w:w="80" w:type="dxa"/>
              <w:end w:w="90" w:type="dxa"/>
            </w:tcMar>
          </w:tcPr>
          <w:p>
            <w:r>
              <w:rPr>
                <w:sz w:val="17"/>
              </w:rPr>
              <w:t>RDF/OWL/SKOS mapping + RML/SPARQL where appropriate</w:t>
            </w:r>
          </w:p>
        </w:tc>
        <w:tc>
          <w:tcPr>
            <w:tcW w:type="dxa" w:w="1512"/>
            <w:vAlign w:val="top"/>
            <w:tcMar>
              <w:top w:w="80" w:type="dxa"/>
              <w:start w:w="90" w:type="dxa"/>
              <w:bottom w:w="80" w:type="dxa"/>
              <w:end w:w="90" w:type="dxa"/>
            </w:tcMar>
          </w:tcPr>
          <w:p>
            <w:r>
              <w:rPr>
                <w:sz w:val="17"/>
              </w:rPr>
              <w:t>Authored</w:t>
            </w:r>
          </w:p>
        </w:tc>
        <w:tc>
          <w:tcPr>
            <w:tcW w:type="dxa" w:w="2448"/>
            <w:vAlign w:val="top"/>
            <w:tcMar>
              <w:top w:w="80" w:type="dxa"/>
              <w:start w:w="90" w:type="dxa"/>
              <w:bottom w:w="80" w:type="dxa"/>
              <w:end w:w="90" w:type="dxa"/>
            </w:tcMar>
          </w:tcPr>
          <w:p>
            <w:r>
              <w:rPr>
                <w:sz w:val="17"/>
              </w:rPr>
              <w:t>Kept separate from core model where lifecycle differs</w:t>
            </w:r>
          </w:p>
        </w:tc>
      </w:tr>
      <w:tr>
        <w:tc>
          <w:tcPr>
            <w:tcW w:type="dxa" w:w="1656"/>
            <w:vAlign w:val="top"/>
            <w:tcMar>
              <w:top w:w="80" w:type="dxa"/>
              <w:start w:w="90" w:type="dxa"/>
              <w:bottom w:w="80" w:type="dxa"/>
              <w:end w:w="90" w:type="dxa"/>
            </w:tcMar>
          </w:tcPr>
          <w:p>
            <w:r>
              <w:rPr>
                <w:sz w:val="17"/>
              </w:rPr>
              <w:t>JSON-LD context</w:t>
            </w:r>
          </w:p>
        </w:tc>
        <w:tc>
          <w:tcPr>
            <w:tcW w:type="dxa" w:w="2592"/>
            <w:vAlign w:val="top"/>
            <w:tcMar>
              <w:top w:w="80" w:type="dxa"/>
              <w:start w:w="90" w:type="dxa"/>
              <w:bottom w:w="80" w:type="dxa"/>
              <w:end w:w="90" w:type="dxa"/>
            </w:tcMar>
          </w:tcPr>
          <w:p>
            <w:r>
              <w:rPr>
                <w:sz w:val="17"/>
              </w:rPr>
              <w:t>Application-facing mapping from JSON keys to IRIs</w:t>
            </w:r>
          </w:p>
        </w:tc>
        <w:tc>
          <w:tcPr>
            <w:tcW w:type="dxa" w:w="2304"/>
            <w:vAlign w:val="top"/>
            <w:tcMar>
              <w:top w:w="80" w:type="dxa"/>
              <w:start w:w="90" w:type="dxa"/>
              <w:bottom w:w="80" w:type="dxa"/>
              <w:end w:w="90" w:type="dxa"/>
            </w:tcMar>
          </w:tcPr>
          <w:p>
            <w:r>
              <w:rPr>
                <w:sz w:val="17"/>
              </w:rPr>
              <w:t>JSON-LD @context</w:t>
            </w:r>
          </w:p>
        </w:tc>
        <w:tc>
          <w:tcPr>
            <w:tcW w:type="dxa" w:w="1512"/>
            <w:vAlign w:val="top"/>
            <w:tcMar>
              <w:top w:w="80" w:type="dxa"/>
              <w:start w:w="90" w:type="dxa"/>
              <w:bottom w:w="80" w:type="dxa"/>
              <w:end w:w="90" w:type="dxa"/>
            </w:tcMar>
          </w:tcPr>
          <w:p>
            <w:r>
              <w:rPr>
                <w:sz w:val="17"/>
              </w:rPr>
              <w:t>Generated by default</w:t>
            </w:r>
          </w:p>
        </w:tc>
        <w:tc>
          <w:tcPr>
            <w:tcW w:type="dxa" w:w="2448"/>
            <w:vAlign w:val="top"/>
            <w:tcMar>
              <w:top w:w="80" w:type="dxa"/>
              <w:start w:w="90" w:type="dxa"/>
              <w:bottom w:w="80" w:type="dxa"/>
              <w:end w:w="90" w:type="dxa"/>
            </w:tcMar>
          </w:tcPr>
          <w:p>
            <w:r>
              <w:rPr>
                <w:sz w:val="17"/>
              </w:rPr>
              <w:t>Published as a boundary artifact</w:t>
            </w:r>
          </w:p>
        </w:tc>
      </w:tr>
      <w:tr>
        <w:tc>
          <w:tcPr>
            <w:tcW w:type="dxa" w:w="1656"/>
            <w:vAlign w:val="top"/>
            <w:tcMar>
              <w:top w:w="80" w:type="dxa"/>
              <w:start w:w="90" w:type="dxa"/>
              <w:bottom w:w="80" w:type="dxa"/>
              <w:end w:w="90" w:type="dxa"/>
            </w:tcMar>
          </w:tcPr>
          <w:p>
            <w:r>
              <w:rPr>
                <w:sz w:val="17"/>
              </w:rPr>
              <w:t>Documentation</w:t>
            </w:r>
          </w:p>
        </w:tc>
        <w:tc>
          <w:tcPr>
            <w:tcW w:type="dxa" w:w="2592"/>
            <w:vAlign w:val="top"/>
            <w:tcMar>
              <w:top w:w="80" w:type="dxa"/>
              <w:start w:w="90" w:type="dxa"/>
              <w:bottom w:w="80" w:type="dxa"/>
              <w:end w:w="90" w:type="dxa"/>
            </w:tcMar>
          </w:tcPr>
          <w:p>
            <w:r>
              <w:rPr>
                <w:sz w:val="17"/>
              </w:rPr>
              <w:t>Human-readable HTML/Markdown diagrams and term pages</w:t>
            </w:r>
          </w:p>
        </w:tc>
        <w:tc>
          <w:tcPr>
            <w:tcW w:type="dxa" w:w="2304"/>
            <w:vAlign w:val="top"/>
            <w:tcMar>
              <w:top w:w="80" w:type="dxa"/>
              <w:start w:w="90" w:type="dxa"/>
              <w:bottom w:w="80" w:type="dxa"/>
              <w:end w:w="90" w:type="dxa"/>
            </w:tcMar>
          </w:tcPr>
          <w:p>
            <w:r>
              <w:rPr>
                <w:sz w:val="17"/>
              </w:rPr>
              <w:t>Generated site/doc artifacts</w:t>
            </w:r>
          </w:p>
        </w:tc>
        <w:tc>
          <w:tcPr>
            <w:tcW w:type="dxa" w:w="1512"/>
            <w:vAlign w:val="top"/>
            <w:tcMar>
              <w:top w:w="80" w:type="dxa"/>
              <w:start w:w="90" w:type="dxa"/>
              <w:bottom w:w="80" w:type="dxa"/>
              <w:end w:w="90" w:type="dxa"/>
            </w:tcMar>
          </w:tcPr>
          <w:p>
            <w:r>
              <w:rPr>
                <w:sz w:val="17"/>
              </w:rPr>
              <w:t>Generated</w:t>
            </w:r>
          </w:p>
        </w:tc>
        <w:tc>
          <w:tcPr>
            <w:tcW w:type="dxa" w:w="2448"/>
            <w:vAlign w:val="top"/>
            <w:tcMar>
              <w:top w:w="80" w:type="dxa"/>
              <w:start w:w="90" w:type="dxa"/>
              <w:bottom w:w="80" w:type="dxa"/>
              <w:end w:w="90" w:type="dxa"/>
            </w:tcMar>
          </w:tcPr>
          <w:p>
            <w:r>
              <w:rPr>
                <w:sz w:val="17"/>
              </w:rPr>
              <w:t>Never treated as semantic source of truth</w:t>
            </w:r>
          </w:p>
        </w:tc>
      </w:tr>
    </w:tbl>
    <w:p>
      <w:pPr>
        <w:spacing w:after="20"/>
      </w:pPr>
    </w:p>
    <w:p>
      <w:pPr>
        <w:spacing w:after="80"/>
      </w:pPr>
      <w:r>
        <w:rPr>
          <w:b/>
          <w:color w:val="1F4E78"/>
        </w:rPr>
        <w:t xml:space="preserve">ART-1  MUST - Keep OWL and SHACL separate: </w:t>
      </w:r>
      <w:r>
        <w:t>Do not place operational data-validation rules into the ontology file merely because they look like cardinality or datatype constraints. OWL operates under open-world semantics; SHACL is the validation contract.</w:t>
      </w:r>
    </w:p>
    <w:p>
      <w:pPr>
        <w:spacing w:after="80"/>
      </w:pPr>
      <w:r>
        <w:rPr>
          <w:b/>
          <w:color w:val="1F4E78"/>
        </w:rPr>
        <w:t xml:space="preserve">ART-2  MUST - Keep controlled values out of the class hierarchy: </w:t>
      </w:r>
      <w:r>
        <w:t>Statuses, perils, line-of-business codes, classifications and similar governed values belong in SKOS concept schemes unless they genuinely require class-level logical structure.</w:t>
      </w:r>
    </w:p>
    <w:p>
      <w:pPr>
        <w:spacing w:after="80"/>
      </w:pPr>
      <w:r>
        <w:rPr>
          <w:b/>
          <w:color w:val="1F4E78"/>
        </w:rPr>
        <w:t xml:space="preserve">ART-3  MUST - Use Turtle as canonical authored RDF: </w:t>
      </w:r>
      <w:r>
        <w:t>JSON-LD and RDF/XML may be published for consumers, but should be generated from the canonical RDF graph unless a documented exception exists.</w:t>
      </w:r>
    </w:p>
    <w:p>
      <w:pPr>
        <w:pStyle w:val="Heading1"/>
      </w:pPr>
      <w:r>
        <w:t>4. Standard Repository and Directory Structure</w:t>
      </w:r>
    </w:p>
    <w:p>
      <w:r>
        <w:t>Every enterprise ontology repository SHOULD follow the structure below. Top-level organization is by artifact type; module cohesion is preserved with common filename stems such as policy.ttl, policy.shapes.ttl, policy.cq.ttl and policy-example.ttl.</w:t>
      </w:r>
    </w:p>
    <w:tbl>
      <w:tblPr>
        <w:tblW w:type="auto" w:w="0"/>
        <w:jc w:val="center"/>
        <w:tblLook w:firstColumn="1" w:firstRow="1" w:lastColumn="0" w:lastRow="0" w:noHBand="0" w:noVBand="1" w:val="04A0"/>
      </w:tblPr>
      <w:tblGrid>
        <w:gridCol w:w="10080"/>
      </w:tblGrid>
      <w:tr>
        <w:tc>
          <w:tcPr>
            <w:tcW w:type="dxa" w:w="10080"/>
            <w:shd w:fill="F3F4F6"/>
            <w:tcMar>
              <w:top w:w="90" w:type="dxa"/>
              <w:start w:w="130" w:type="dxa"/>
              <w:bottom w:w="90" w:type="dxa"/>
              <w:end w:w="130" w:type="dxa"/>
            </w:tcMar>
          </w:tcPr>
          <w:p>
            <w:pPr>
              <w:spacing w:after="0"/>
            </w:pPr>
            <w:r>
              <w:rPr>
                <w:rFonts w:ascii="Courier New" w:hAnsi="Courier New"/>
                <w:sz w:val="17"/>
              </w:rPr>
              <w:t>enterprise-ontology/</w:t>
            </w:r>
            <w:r>
              <w:br/>
            </w:r>
            <w:r>
              <w:rPr>
                <w:rFonts w:ascii="Courier New" w:hAnsi="Courier New"/>
                <w:sz w:val="17"/>
              </w:rPr>
              <w:t>├── README.md</w:t>
            </w:r>
            <w:r>
              <w:br/>
            </w:r>
            <w:r>
              <w:rPr>
                <w:rFonts w:ascii="Courier New" w:hAnsi="Courier New"/>
                <w:sz w:val="17"/>
              </w:rPr>
              <w:t>├── CHANGELOG.md</w:t>
            </w:r>
            <w:r>
              <w:br/>
            </w:r>
            <w:r>
              <w:rPr>
                <w:rFonts w:ascii="Courier New" w:hAnsi="Courier New"/>
                <w:sz w:val="17"/>
              </w:rPr>
              <w:t>├── ontology/                     # Canonical T-Box: OWL/RDFS</w:t>
            </w:r>
            <w:r>
              <w:br/>
            </w:r>
            <w:r>
              <w:rPr>
                <w:rFonts w:ascii="Courier New" w:hAnsi="Courier New"/>
                <w:sz w:val="17"/>
              </w:rPr>
              <w:t>│   ├── fnd/                      # Foundation / upper ontology</w:t>
            </w:r>
            <w:r>
              <w:br/>
            </w:r>
            <w:r>
              <w:rPr>
                <w:rFonts w:ascii="Courier New" w:hAnsi="Courier New"/>
                <w:sz w:val="17"/>
              </w:rPr>
              <w:t>│   │   ├── core.ttl</w:t>
            </w:r>
            <w:r>
              <w:br/>
            </w:r>
            <w:r>
              <w:rPr>
                <w:rFonts w:ascii="Courier New" w:hAnsi="Courier New"/>
                <w:sz w:val="17"/>
              </w:rPr>
              <w:t>│   │   ├── identifier.ttl</w:t>
            </w:r>
            <w:r>
              <w:br/>
            </w:r>
            <w:r>
              <w:rPr>
                <w:rFonts w:ascii="Courier New" w:hAnsi="Courier New"/>
                <w:sz w:val="17"/>
              </w:rPr>
              <w:t>│   │   ├── location.ttl</w:t>
            </w:r>
            <w:r>
              <w:br/>
            </w:r>
            <w:r>
              <w:rPr>
                <w:rFonts w:ascii="Courier New" w:hAnsi="Courier New"/>
                <w:sz w:val="17"/>
              </w:rPr>
              <w:t>│   │   ├── organization.ttl</w:t>
            </w:r>
            <w:r>
              <w:br/>
            </w:r>
            <w:r>
              <w:rPr>
                <w:rFonts w:ascii="Courier New" w:hAnsi="Courier New"/>
                <w:sz w:val="17"/>
              </w:rPr>
              <w:t>│   │   └── time.ttl</w:t>
            </w:r>
            <w:r>
              <w:br/>
            </w:r>
            <w:r>
              <w:rPr>
                <w:rFonts w:ascii="Courier New" w:hAnsi="Courier New"/>
                <w:sz w:val="17"/>
              </w:rPr>
              <w:t>│   ├── ins/                      # Insurance enterprise domain</w:t>
            </w:r>
            <w:r>
              <w:br/>
            </w:r>
            <w:r>
              <w:rPr>
                <w:rFonts w:ascii="Courier New" w:hAnsi="Courier New"/>
                <w:sz w:val="17"/>
              </w:rPr>
              <w:t>│   │   ├── policy.ttl</w:t>
            </w:r>
            <w:r>
              <w:br/>
            </w:r>
            <w:r>
              <w:rPr>
                <w:rFonts w:ascii="Courier New" w:hAnsi="Courier New"/>
                <w:sz w:val="17"/>
              </w:rPr>
              <w:t>│   │   ├── claim.ttl</w:t>
            </w:r>
            <w:r>
              <w:br/>
            </w:r>
            <w:r>
              <w:rPr>
                <w:rFonts w:ascii="Courier New" w:hAnsi="Courier New"/>
                <w:sz w:val="17"/>
              </w:rPr>
              <w:t>│   │   ├── coverage.ttl</w:t>
            </w:r>
            <w:r>
              <w:br/>
            </w:r>
            <w:r>
              <w:rPr>
                <w:rFonts w:ascii="Courier New" w:hAnsi="Courier New"/>
                <w:sz w:val="17"/>
              </w:rPr>
              <w:t>│   │   └── party.ttl</w:t>
            </w:r>
            <w:r>
              <w:br/>
            </w:r>
            <w:r>
              <w:rPr>
                <w:rFonts w:ascii="Courier New" w:hAnsi="Courier New"/>
                <w:sz w:val="17"/>
              </w:rPr>
              <w:t>│   └── &lt;domain&gt;/                 # New governed domain layer</w:t>
            </w:r>
            <w:r>
              <w:br/>
            </w:r>
            <w:r>
              <w:rPr>
                <w:rFonts w:ascii="Courier New" w:hAnsi="Courier New"/>
                <w:sz w:val="17"/>
              </w:rPr>
              <w:t>│       └── &lt;module&gt;.ttl</w:t>
            </w:r>
            <w:r>
              <w:br/>
            </w:r>
            <w:r>
              <w:rPr>
                <w:rFonts w:ascii="Courier New" w:hAnsi="Courier New"/>
                <w:sz w:val="17"/>
              </w:rPr>
              <w:t>├── vocabulary/                   # SKOS concept schemes / code lists</w:t>
            </w:r>
            <w:r>
              <w:br/>
            </w:r>
            <w:r>
              <w:rPr>
                <w:rFonts w:ascii="Courier New" w:hAnsi="Courier New"/>
                <w:sz w:val="17"/>
              </w:rPr>
              <w:t>│   ├── ins/</w:t>
            </w:r>
            <w:r>
              <w:br/>
            </w:r>
            <w:r>
              <w:rPr>
                <w:rFonts w:ascii="Courier New" w:hAnsi="Courier New"/>
                <w:sz w:val="17"/>
              </w:rPr>
              <w:t>│   │   ├── policy-status.ttl</w:t>
            </w:r>
            <w:r>
              <w:br/>
            </w:r>
            <w:r>
              <w:rPr>
                <w:rFonts w:ascii="Courier New" w:hAnsi="Courier New"/>
                <w:sz w:val="17"/>
              </w:rPr>
              <w:t>│   │   ├── claim-status.ttl</w:t>
            </w:r>
            <w:r>
              <w:br/>
            </w:r>
            <w:r>
              <w:rPr>
                <w:rFonts w:ascii="Courier New" w:hAnsi="Courier New"/>
                <w:sz w:val="17"/>
              </w:rPr>
              <w:t>│   │   ├── peril.ttl</w:t>
            </w:r>
            <w:r>
              <w:br/>
            </w:r>
            <w:r>
              <w:rPr>
                <w:rFonts w:ascii="Courier New" w:hAnsi="Courier New"/>
                <w:sz w:val="17"/>
              </w:rPr>
              <w:t>│   │   └── line-of-business.ttl</w:t>
            </w:r>
            <w:r>
              <w:br/>
            </w:r>
            <w:r>
              <w:rPr>
                <w:rFonts w:ascii="Courier New" w:hAnsi="Courier New"/>
                <w:sz w:val="17"/>
              </w:rPr>
              <w:t>│   └── &lt;domain&gt;/</w:t>
            </w:r>
            <w:r>
              <w:br/>
            </w:r>
            <w:r>
              <w:rPr>
                <w:rFonts w:ascii="Courier New" w:hAnsi="Courier New"/>
                <w:sz w:val="17"/>
              </w:rPr>
              <w:t>├── shapes/                       # SHACL validation graphs</w:t>
            </w:r>
            <w:r>
              <w:br/>
            </w:r>
            <w:r>
              <w:rPr>
                <w:rFonts w:ascii="Courier New" w:hAnsi="Courier New"/>
                <w:sz w:val="17"/>
              </w:rPr>
              <w:t>│   ├── ins/</w:t>
            </w:r>
            <w:r>
              <w:br/>
            </w:r>
            <w:r>
              <w:rPr>
                <w:rFonts w:ascii="Courier New" w:hAnsi="Courier New"/>
                <w:sz w:val="17"/>
              </w:rPr>
              <w:t>│   │   ├── policy.shapes.ttl</w:t>
            </w:r>
            <w:r>
              <w:br/>
            </w:r>
            <w:r>
              <w:rPr>
                <w:rFonts w:ascii="Courier New" w:hAnsi="Courier New"/>
                <w:sz w:val="17"/>
              </w:rPr>
              <w:t>│   │   └── claim.shapes.ttl</w:t>
            </w:r>
            <w:r>
              <w:br/>
            </w:r>
            <w:r>
              <w:rPr>
                <w:rFonts w:ascii="Courier New" w:hAnsi="Courier New"/>
                <w:sz w:val="17"/>
              </w:rPr>
              <w:t>│   └── &lt;domain&gt;/</w:t>
            </w:r>
            <w:r>
              <w:br/>
            </w:r>
            <w:r>
              <w:rPr>
                <w:rFonts w:ascii="Courier New" w:hAnsi="Courier New"/>
                <w:sz w:val="17"/>
              </w:rPr>
              <w:t>├── competency/                   # CQ requirements + SPARQL acceptance tests</w:t>
            </w:r>
            <w:r>
              <w:br/>
            </w:r>
            <w:r>
              <w:rPr>
                <w:rFonts w:ascii="Courier New" w:hAnsi="Courier New"/>
                <w:sz w:val="17"/>
              </w:rPr>
              <w:t>│   ├── competency.ttl            # CQ meta-model</w:t>
            </w:r>
            <w:r>
              <w:br/>
            </w:r>
            <w:r>
              <w:rPr>
                <w:rFonts w:ascii="Courier New" w:hAnsi="Courier New"/>
                <w:sz w:val="17"/>
              </w:rPr>
              <w:t>│   ├── ins/</w:t>
            </w:r>
            <w:r>
              <w:br/>
            </w:r>
            <w:r>
              <w:rPr>
                <w:rFonts w:ascii="Courier New" w:hAnsi="Courier New"/>
                <w:sz w:val="17"/>
              </w:rPr>
              <w:t>│   │   ├── policy.cq.ttl</w:t>
            </w:r>
            <w:r>
              <w:br/>
            </w:r>
            <w:r>
              <w:rPr>
                <w:rFonts w:ascii="Courier New" w:hAnsi="Courier New"/>
                <w:sz w:val="17"/>
              </w:rPr>
              <w:t>│   │   └── claim.cq.ttl</w:t>
            </w:r>
            <w:r>
              <w:br/>
            </w:r>
            <w:r>
              <w:rPr>
                <w:rFonts w:ascii="Courier New" w:hAnsi="Courier New"/>
                <w:sz w:val="17"/>
              </w:rPr>
              <w:t>│   └── queries/</w:t>
            </w:r>
            <w:r>
              <w:br/>
            </w:r>
            <w:r>
              <w:rPr>
                <w:rFonts w:ascii="Courier New" w:hAnsi="Courier New"/>
                <w:sz w:val="17"/>
              </w:rPr>
              <w:t>│       ├── CQ-POL-001.rq</w:t>
            </w:r>
            <w:r>
              <w:br/>
            </w:r>
            <w:r>
              <w:rPr>
                <w:rFonts w:ascii="Courier New" w:hAnsi="Courier New"/>
                <w:sz w:val="17"/>
              </w:rPr>
              <w:t>│       └── CQ-CLM-001.rq</w:t>
            </w:r>
            <w:r>
              <w:br/>
            </w:r>
            <w:r>
              <w:rPr>
                <w:rFonts w:ascii="Courier New" w:hAnsi="Courier New"/>
                <w:sz w:val="17"/>
              </w:rPr>
              <w:t>├── samples/                      # Synthetic/canonical A-Box fixtures</w:t>
            </w:r>
            <w:r>
              <w:br/>
            </w:r>
            <w:r>
              <w:rPr>
                <w:rFonts w:ascii="Courier New" w:hAnsi="Courier New"/>
                <w:sz w:val="17"/>
              </w:rPr>
              <w:t>│   ├── ins/</w:t>
            </w:r>
            <w:r>
              <w:br/>
            </w:r>
            <w:r>
              <w:rPr>
                <w:rFonts w:ascii="Courier New" w:hAnsi="Courier New"/>
                <w:sz w:val="17"/>
              </w:rPr>
              <w:t>│   │   ├── policy-example.ttl</w:t>
            </w:r>
            <w:r>
              <w:br/>
            </w:r>
            <w:r>
              <w:rPr>
                <w:rFonts w:ascii="Courier New" w:hAnsi="Courier New"/>
                <w:sz w:val="17"/>
              </w:rPr>
              <w:t>│   │   └── claim-example.ttl</w:t>
            </w:r>
            <w:r>
              <w:br/>
            </w:r>
            <w:r>
              <w:rPr>
                <w:rFonts w:ascii="Courier New" w:hAnsi="Courier New"/>
                <w:sz w:val="17"/>
              </w:rPr>
              <w:t>│   └── invalid/                  # Negative fixtures expected to fail SHACL</w:t>
            </w:r>
            <w:r>
              <w:br/>
            </w:r>
            <w:r>
              <w:rPr>
                <w:rFonts w:ascii="Courier New" w:hAnsi="Courier New"/>
                <w:sz w:val="17"/>
              </w:rPr>
              <w:t>├── mappings/                     # External/source/data-product alignments</w:t>
            </w:r>
            <w:r>
              <w:br/>
            </w:r>
            <w:r>
              <w:rPr>
                <w:rFonts w:ascii="Courier New" w:hAnsi="Courier New"/>
                <w:sz w:val="17"/>
              </w:rPr>
              <w:t>│   ├── external/</w:t>
            </w:r>
            <w:r>
              <w:br/>
            </w:r>
            <w:r>
              <w:rPr>
                <w:rFonts w:ascii="Courier New" w:hAnsi="Courier New"/>
                <w:sz w:val="17"/>
              </w:rPr>
              <w:t>│   ├── source-systems/</w:t>
            </w:r>
            <w:r>
              <w:br/>
            </w:r>
            <w:r>
              <w:rPr>
                <w:rFonts w:ascii="Courier New" w:hAnsi="Courier New"/>
                <w:sz w:val="17"/>
              </w:rPr>
              <w:t>│   └── data-products/</w:t>
            </w:r>
            <w:r>
              <w:br/>
            </w:r>
            <w:r>
              <w:rPr>
                <w:rFonts w:ascii="Courier New" w:hAnsi="Courier New"/>
                <w:sz w:val="17"/>
              </w:rPr>
              <w:t>├── context/                      # Generated JSON-LD contexts</w:t>
            </w:r>
            <w:r>
              <w:br/>
            </w:r>
            <w:r>
              <w:rPr>
                <w:rFonts w:ascii="Courier New" w:hAnsi="Courier New"/>
                <w:sz w:val="17"/>
              </w:rPr>
              <w:t>│   ├── policy.context.jsonld</w:t>
            </w:r>
            <w:r>
              <w:br/>
            </w:r>
            <w:r>
              <w:rPr>
                <w:rFonts w:ascii="Courier New" w:hAnsi="Courier New"/>
                <w:sz w:val="17"/>
              </w:rPr>
              <w:t>│   └── enterprise.context.jsonld</w:t>
            </w:r>
            <w:r>
              <w:br/>
            </w:r>
            <w:r>
              <w:rPr>
                <w:rFonts w:ascii="Courier New" w:hAnsi="Courier New"/>
                <w:sz w:val="17"/>
              </w:rPr>
              <w:t>├── tests/</w:t>
            </w:r>
            <w:r>
              <w:br/>
            </w:r>
            <w:r>
              <w:rPr>
                <w:rFonts w:ascii="Courier New" w:hAnsi="Courier New"/>
                <w:sz w:val="17"/>
              </w:rPr>
              <w:t>│   ├── reasoning/</w:t>
            </w:r>
            <w:r>
              <w:br/>
            </w:r>
            <w:r>
              <w:rPr>
                <w:rFonts w:ascii="Courier New" w:hAnsi="Courier New"/>
                <w:sz w:val="17"/>
              </w:rPr>
              <w:t>│   ├── shacl/</w:t>
            </w:r>
            <w:r>
              <w:br/>
            </w:r>
            <w:r>
              <w:rPr>
                <w:rFonts w:ascii="Courier New" w:hAnsi="Courier New"/>
                <w:sz w:val="17"/>
              </w:rPr>
              <w:t>│   ├── namespace/</w:t>
            </w:r>
            <w:r>
              <w:br/>
            </w:r>
            <w:r>
              <w:rPr>
                <w:rFonts w:ascii="Courier New" w:hAnsi="Courier New"/>
                <w:sz w:val="17"/>
              </w:rPr>
              <w:t>│   ├── skos/</w:t>
            </w:r>
            <w:r>
              <w:br/>
            </w:r>
            <w:r>
              <w:rPr>
                <w:rFonts w:ascii="Courier New" w:hAnsi="Courier New"/>
                <w:sz w:val="17"/>
              </w:rPr>
              <w:t>│   └── regression/</w:t>
            </w:r>
            <w:r>
              <w:br/>
            </w:r>
            <w:r>
              <w:rPr>
                <w:rFonts w:ascii="Courier New" w:hAnsi="Courier New"/>
                <w:sz w:val="17"/>
              </w:rPr>
              <w:t>├── scripts/                      # Lint, validation, generation, release scripts</w:t>
            </w:r>
            <w:r>
              <w:br/>
            </w:r>
            <w:r>
              <w:rPr>
                <w:rFonts w:ascii="Courier New" w:hAnsi="Courier New"/>
                <w:sz w:val="17"/>
              </w:rPr>
              <w:t>├── config/                       # Catalogs, tool configs, approved namespaces</w:t>
            </w:r>
            <w:r>
              <w:br/>
            </w:r>
            <w:r>
              <w:rPr>
                <w:rFonts w:ascii="Courier New" w:hAnsi="Courier New"/>
                <w:sz w:val="17"/>
              </w:rPr>
              <w:t>│   ├── prefixes.yml</w:t>
            </w:r>
            <w:r>
              <w:br/>
            </w:r>
            <w:r>
              <w:rPr>
                <w:rFonts w:ascii="Courier New" w:hAnsi="Courier New"/>
                <w:sz w:val="17"/>
              </w:rPr>
              <w:t>│   ├── namespaces.yml</w:t>
            </w:r>
            <w:r>
              <w:br/>
            </w:r>
            <w:r>
              <w:rPr>
                <w:rFonts w:ascii="Courier New" w:hAnsi="Courier New"/>
                <w:sz w:val="17"/>
              </w:rPr>
              <w:t>│   └── imports-catalog.xml</w:t>
            </w:r>
            <w:r>
              <w:br/>
            </w:r>
            <w:r>
              <w:rPr>
                <w:rFonts w:ascii="Courier New" w:hAnsi="Courier New"/>
                <w:sz w:val="17"/>
              </w:rPr>
              <w:t>├── docs/                         # Authored governance docs + generated site input</w:t>
            </w:r>
            <w:r>
              <w:br/>
            </w:r>
            <w:r>
              <w:rPr>
                <w:rFonts w:ascii="Courier New" w:hAnsi="Courier New"/>
                <w:sz w:val="17"/>
              </w:rPr>
              <w:t>├── generated/                    # Build outputs; never hand-edited</w:t>
            </w:r>
            <w:r>
              <w:br/>
            </w:r>
            <w:r>
              <w:rPr>
                <w:rFonts w:ascii="Courier New" w:hAnsi="Courier New"/>
                <w:sz w:val="17"/>
              </w:rPr>
              <w:t>└── dist/                         # Versioned release packages</w:t>
            </w:r>
          </w:p>
        </w:tc>
      </w:tr>
    </w:tbl>
    <w:p>
      <w:pPr>
        <w:spacing w:after="20"/>
      </w:pPr>
    </w:p>
    <w:p>
      <w:pPr>
        <w:spacing w:after="80"/>
      </w:pPr>
      <w:r>
        <w:rPr>
          <w:b/>
          <w:color w:val="1F4E78"/>
        </w:rPr>
        <w:t xml:space="preserve">DIR-1  MUST - One module, one T-Box file: </w:t>
      </w:r>
      <w:r>
        <w:t>A domain module is stored in one canonical Turtle file. Split only when the semantic responsibility, ownership or release cadence is genuinely different.</w:t>
      </w:r>
    </w:p>
    <w:p>
      <w:pPr>
        <w:spacing w:after="80"/>
      </w:pPr>
      <w:r>
        <w:rPr>
          <w:b/>
          <w:color w:val="1F4E78"/>
        </w:rPr>
        <w:t xml:space="preserve">DIR-2  MUST - Shared filename stem: </w:t>
      </w:r>
      <w:r>
        <w:t>Related artifacts use the same module stem: policy.ttl, policy.shapes.ttl, policy.cq.ttl, policy-example.ttl.</w:t>
      </w:r>
    </w:p>
    <w:p>
      <w:pPr>
        <w:spacing w:after="80"/>
      </w:pPr>
      <w:r>
        <w:rPr>
          <w:b/>
          <w:color w:val="1F4E78"/>
        </w:rPr>
        <w:t xml:space="preserve">DIR-3  MUST - No production instances under ontology/: </w:t>
      </w:r>
      <w:r>
        <w:t>A-Box data belongs under samples/ for fixtures or in the runtime graph store. Production business facts must never be embedded in T-Box modules.</w:t>
      </w:r>
    </w:p>
    <w:p>
      <w:pPr>
        <w:spacing w:after="80"/>
      </w:pPr>
      <w:r>
        <w:rPr>
          <w:b/>
          <w:color w:val="1F4E78"/>
        </w:rPr>
        <w:t xml:space="preserve">DIR-4  MUST - Generated artifacts are read-only: </w:t>
      </w:r>
      <w:r>
        <w:t>Files under generated/, dist/ and generated context/documentation locations are build outputs and must not be manually edited.</w:t>
      </w:r>
    </w:p>
    <w:p>
      <w:pPr>
        <w:spacing w:after="80"/>
      </w:pPr>
      <w:r>
        <w:rPr>
          <w:b/>
          <w:color w:val="1F4E78"/>
        </w:rPr>
        <w:t xml:space="preserve">DIR-5  SHOULD - Mirror domain layers across artifact trees: </w:t>
      </w:r>
      <w:r>
        <w:t>If a module is ontology/ins/policy.ttl, its related artifacts should appear under shapes/ins, vocabulary/ins, samples/ins and competency/ins where applicable.</w:t>
      </w:r>
    </w:p>
    <w:p>
      <w:pPr>
        <w:pStyle w:val="Heading1"/>
      </w:pPr>
      <w:r>
        <w:t>5. Namespace and IRI Policy</w:t>
      </w:r>
    </w:p>
    <w:p>
      <w:r>
        <w:t>Namespace rules are among the most important decisions in the enterprise model. Published IRIs may be referenced by data products, APIs, SPARQL queries, application code, reports and external partners for years. The following rules are mandatory.</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1872"/>
            <w:shd w:fill="1F4E78"/>
            <w:vAlign w:val="center"/>
            <w:tcMar>
              <w:top w:w="80" w:type="dxa"/>
              <w:start w:w="90" w:type="dxa"/>
              <w:bottom w:w="80" w:type="dxa"/>
              <w:end w:w="90" w:type="dxa"/>
            </w:tcMar>
          </w:tcPr>
          <w:p>
            <w:r>
              <w:rPr>
                <w:b/>
                <w:color w:val="FFFFFF"/>
                <w:sz w:val="18"/>
              </w:rPr>
              <w:t>Artifact kind</w:t>
            </w:r>
          </w:p>
        </w:tc>
        <w:tc>
          <w:tcPr>
            <w:tcW w:type="dxa" w:w="4608"/>
            <w:shd w:fill="1F4E78"/>
            <w:vAlign w:val="center"/>
            <w:tcMar>
              <w:top w:w="80" w:type="dxa"/>
              <w:start w:w="90" w:type="dxa"/>
              <w:bottom w:w="80" w:type="dxa"/>
              <w:end w:w="90" w:type="dxa"/>
            </w:tcMar>
          </w:tcPr>
          <w:p>
            <w:r>
              <w:rPr>
                <w:b/>
                <w:color w:val="FFFFFF"/>
                <w:sz w:val="18"/>
              </w:rPr>
              <w:t>IRI pattern</w:t>
            </w:r>
          </w:p>
        </w:tc>
        <w:tc>
          <w:tcPr>
            <w:tcW w:type="dxa" w:w="3744"/>
            <w:shd w:fill="1F4E78"/>
            <w:vAlign w:val="center"/>
            <w:tcMar>
              <w:top w:w="80" w:type="dxa"/>
              <w:start w:w="90" w:type="dxa"/>
              <w:bottom w:w="80" w:type="dxa"/>
              <w:end w:w="90" w:type="dxa"/>
            </w:tcMar>
          </w:tcPr>
          <w:p>
            <w:r>
              <w:rPr>
                <w:b/>
                <w:color w:val="FFFFFF"/>
                <w:sz w:val="18"/>
              </w:rPr>
              <w:t>Example</w:t>
            </w:r>
          </w:p>
        </w:tc>
      </w:tr>
      <w:tr>
        <w:tc>
          <w:tcPr>
            <w:tcW w:type="dxa" w:w="1872"/>
            <w:vAlign w:val="top"/>
            <w:tcMar>
              <w:top w:w="80" w:type="dxa"/>
              <w:start w:w="90" w:type="dxa"/>
              <w:bottom w:w="80" w:type="dxa"/>
              <w:end w:w="90" w:type="dxa"/>
            </w:tcMar>
          </w:tcPr>
          <w:p>
            <w:r>
              <w:rPr>
                <w:sz w:val="17"/>
              </w:rPr>
              <w:t>Ontology / T-Box</w:t>
            </w:r>
          </w:p>
        </w:tc>
        <w:tc>
          <w:tcPr>
            <w:tcW w:type="dxa" w:w="4608"/>
            <w:vAlign w:val="top"/>
            <w:tcMar>
              <w:top w:w="80" w:type="dxa"/>
              <w:start w:w="90" w:type="dxa"/>
              <w:bottom w:w="80" w:type="dxa"/>
              <w:end w:w="90" w:type="dxa"/>
            </w:tcMar>
          </w:tcPr>
          <w:p>
            <w:r>
              <w:rPr>
                <w:sz w:val="17"/>
              </w:rPr>
              <w:t>https://data.chubb.com/ontology/{layer}/{module}/</w:t>
            </w:r>
          </w:p>
        </w:tc>
        <w:tc>
          <w:tcPr>
            <w:tcW w:type="dxa" w:w="3744"/>
            <w:vAlign w:val="top"/>
            <w:tcMar>
              <w:top w:w="80" w:type="dxa"/>
              <w:start w:w="90" w:type="dxa"/>
              <w:bottom w:w="80" w:type="dxa"/>
              <w:end w:w="90" w:type="dxa"/>
            </w:tcMar>
          </w:tcPr>
          <w:p>
            <w:r>
              <w:rPr>
                <w:sz w:val="17"/>
              </w:rPr>
              <w:t>https://data.chubb.com/ontology/ins/policy/</w:t>
            </w:r>
          </w:p>
        </w:tc>
      </w:tr>
      <w:tr>
        <w:tc>
          <w:tcPr>
            <w:tcW w:type="dxa" w:w="1872"/>
            <w:vAlign w:val="top"/>
            <w:tcMar>
              <w:top w:w="80" w:type="dxa"/>
              <w:start w:w="90" w:type="dxa"/>
              <w:bottom w:w="80" w:type="dxa"/>
              <w:end w:w="90" w:type="dxa"/>
            </w:tcMar>
          </w:tcPr>
          <w:p>
            <w:r>
              <w:rPr>
                <w:sz w:val="17"/>
              </w:rPr>
              <w:t>SKOS vocabulary</w:t>
            </w:r>
          </w:p>
        </w:tc>
        <w:tc>
          <w:tcPr>
            <w:tcW w:type="dxa" w:w="4608"/>
            <w:vAlign w:val="top"/>
            <w:tcMar>
              <w:top w:w="80" w:type="dxa"/>
              <w:start w:w="90" w:type="dxa"/>
              <w:bottom w:w="80" w:type="dxa"/>
              <w:end w:w="90" w:type="dxa"/>
            </w:tcMar>
          </w:tcPr>
          <w:p>
            <w:r>
              <w:rPr>
                <w:sz w:val="17"/>
              </w:rPr>
              <w:t>https://data.chubb.com/vocabulary/{layer}/{scheme}/</w:t>
            </w:r>
          </w:p>
        </w:tc>
        <w:tc>
          <w:tcPr>
            <w:tcW w:type="dxa" w:w="3744"/>
            <w:vAlign w:val="top"/>
            <w:tcMar>
              <w:top w:w="80" w:type="dxa"/>
              <w:start w:w="90" w:type="dxa"/>
              <w:bottom w:w="80" w:type="dxa"/>
              <w:end w:w="90" w:type="dxa"/>
            </w:tcMar>
          </w:tcPr>
          <w:p>
            <w:r>
              <w:rPr>
                <w:sz w:val="17"/>
              </w:rPr>
              <w:t>https://data.chubb.com/vocabulary/ins/peril/</w:t>
            </w:r>
          </w:p>
        </w:tc>
      </w:tr>
      <w:tr>
        <w:tc>
          <w:tcPr>
            <w:tcW w:type="dxa" w:w="1872"/>
            <w:vAlign w:val="top"/>
            <w:tcMar>
              <w:top w:w="80" w:type="dxa"/>
              <w:start w:w="90" w:type="dxa"/>
              <w:bottom w:w="80" w:type="dxa"/>
              <w:end w:w="90" w:type="dxa"/>
            </w:tcMar>
          </w:tcPr>
          <w:p>
            <w:r>
              <w:rPr>
                <w:sz w:val="17"/>
              </w:rPr>
              <w:t>SHACL shapes</w:t>
            </w:r>
          </w:p>
        </w:tc>
        <w:tc>
          <w:tcPr>
            <w:tcW w:type="dxa" w:w="4608"/>
            <w:vAlign w:val="top"/>
            <w:tcMar>
              <w:top w:w="80" w:type="dxa"/>
              <w:start w:w="90" w:type="dxa"/>
              <w:bottom w:w="80" w:type="dxa"/>
              <w:end w:w="90" w:type="dxa"/>
            </w:tcMar>
          </w:tcPr>
          <w:p>
            <w:r>
              <w:rPr>
                <w:sz w:val="17"/>
              </w:rPr>
              <w:t>https://data.chubb.com/shapes/{layer}/{module}/</w:t>
            </w:r>
          </w:p>
        </w:tc>
        <w:tc>
          <w:tcPr>
            <w:tcW w:type="dxa" w:w="3744"/>
            <w:vAlign w:val="top"/>
            <w:tcMar>
              <w:top w:w="80" w:type="dxa"/>
              <w:start w:w="90" w:type="dxa"/>
              <w:bottom w:w="80" w:type="dxa"/>
              <w:end w:w="90" w:type="dxa"/>
            </w:tcMar>
          </w:tcPr>
          <w:p>
            <w:r>
              <w:rPr>
                <w:sz w:val="17"/>
              </w:rPr>
              <w:t>https://data.chubb.com/shapes/ins/policy/</w:t>
            </w:r>
          </w:p>
        </w:tc>
      </w:tr>
      <w:tr>
        <w:tc>
          <w:tcPr>
            <w:tcW w:type="dxa" w:w="1872"/>
            <w:vAlign w:val="top"/>
            <w:tcMar>
              <w:top w:w="80" w:type="dxa"/>
              <w:start w:w="90" w:type="dxa"/>
              <w:bottom w:w="80" w:type="dxa"/>
              <w:end w:w="90" w:type="dxa"/>
            </w:tcMar>
          </w:tcPr>
          <w:p>
            <w:r>
              <w:rPr>
                <w:sz w:val="17"/>
              </w:rPr>
              <w:t>A-Box / resources</w:t>
            </w:r>
          </w:p>
        </w:tc>
        <w:tc>
          <w:tcPr>
            <w:tcW w:type="dxa" w:w="4608"/>
            <w:vAlign w:val="top"/>
            <w:tcMar>
              <w:top w:w="80" w:type="dxa"/>
              <w:start w:w="90" w:type="dxa"/>
              <w:bottom w:w="80" w:type="dxa"/>
              <w:end w:w="90" w:type="dxa"/>
            </w:tcMar>
          </w:tcPr>
          <w:p>
            <w:r>
              <w:rPr>
                <w:sz w:val="17"/>
              </w:rPr>
              <w:t>https://data.chubb.com/resource/{layer}/{module}/{dataset}/</w:t>
            </w:r>
          </w:p>
        </w:tc>
        <w:tc>
          <w:tcPr>
            <w:tcW w:type="dxa" w:w="3744"/>
            <w:vAlign w:val="top"/>
            <w:tcMar>
              <w:top w:w="80" w:type="dxa"/>
              <w:start w:w="90" w:type="dxa"/>
              <w:bottom w:w="80" w:type="dxa"/>
              <w:end w:w="90" w:type="dxa"/>
            </w:tcMar>
          </w:tcPr>
          <w:p>
            <w:r>
              <w:rPr>
                <w:sz w:val="17"/>
              </w:rPr>
              <w:t>https://data.chubb.com/resource/ins/policy/example/</w:t>
            </w:r>
          </w:p>
        </w:tc>
      </w:tr>
      <w:tr>
        <w:tc>
          <w:tcPr>
            <w:tcW w:type="dxa" w:w="1872"/>
            <w:vAlign w:val="top"/>
            <w:tcMar>
              <w:top w:w="80" w:type="dxa"/>
              <w:start w:w="90" w:type="dxa"/>
              <w:bottom w:w="80" w:type="dxa"/>
              <w:end w:w="90" w:type="dxa"/>
            </w:tcMar>
          </w:tcPr>
          <w:p>
            <w:r>
              <w:rPr>
                <w:sz w:val="17"/>
              </w:rPr>
              <w:t>Competency questions</w:t>
            </w:r>
          </w:p>
        </w:tc>
        <w:tc>
          <w:tcPr>
            <w:tcW w:type="dxa" w:w="4608"/>
            <w:vAlign w:val="top"/>
            <w:tcMar>
              <w:top w:w="80" w:type="dxa"/>
              <w:start w:w="90" w:type="dxa"/>
              <w:bottom w:w="80" w:type="dxa"/>
              <w:end w:w="90" w:type="dxa"/>
            </w:tcMar>
          </w:tcPr>
          <w:p>
            <w:r>
              <w:rPr>
                <w:sz w:val="17"/>
              </w:rPr>
              <w:t>https://data.chubb.com/resource/{layer}/{module}/cq/</w:t>
            </w:r>
          </w:p>
        </w:tc>
        <w:tc>
          <w:tcPr>
            <w:tcW w:type="dxa" w:w="3744"/>
            <w:vAlign w:val="top"/>
            <w:tcMar>
              <w:top w:w="80" w:type="dxa"/>
              <w:start w:w="90" w:type="dxa"/>
              <w:bottom w:w="80" w:type="dxa"/>
              <w:end w:w="90" w:type="dxa"/>
            </w:tcMar>
          </w:tcPr>
          <w:p>
            <w:r>
              <w:rPr>
                <w:sz w:val="17"/>
              </w:rPr>
              <w:t>https://data.chubb.com/resource/ins/policy/cq/</w:t>
            </w:r>
          </w:p>
        </w:tc>
      </w:tr>
      <w:tr>
        <w:tc>
          <w:tcPr>
            <w:tcW w:type="dxa" w:w="1872"/>
            <w:vAlign w:val="top"/>
            <w:tcMar>
              <w:top w:w="80" w:type="dxa"/>
              <w:start w:w="90" w:type="dxa"/>
              <w:bottom w:w="80" w:type="dxa"/>
              <w:end w:w="90" w:type="dxa"/>
            </w:tcMar>
          </w:tcPr>
          <w:p>
            <w:r>
              <w:rPr>
                <w:sz w:val="17"/>
              </w:rPr>
              <w:t>JSON-LD context</w:t>
            </w:r>
          </w:p>
        </w:tc>
        <w:tc>
          <w:tcPr>
            <w:tcW w:type="dxa" w:w="4608"/>
            <w:vAlign w:val="top"/>
            <w:tcMar>
              <w:top w:w="80" w:type="dxa"/>
              <w:start w:w="90" w:type="dxa"/>
              <w:bottom w:w="80" w:type="dxa"/>
              <w:end w:w="90" w:type="dxa"/>
            </w:tcMar>
          </w:tcPr>
          <w:p>
            <w:r>
              <w:rPr>
                <w:sz w:val="17"/>
              </w:rPr>
              <w:t>https://data.chubb.com/context/{layer}/{module}.jsonld</w:t>
            </w:r>
          </w:p>
        </w:tc>
        <w:tc>
          <w:tcPr>
            <w:tcW w:type="dxa" w:w="3744"/>
            <w:vAlign w:val="top"/>
            <w:tcMar>
              <w:top w:w="80" w:type="dxa"/>
              <w:start w:w="90" w:type="dxa"/>
              <w:bottom w:w="80" w:type="dxa"/>
              <w:end w:w="90" w:type="dxa"/>
            </w:tcMar>
          </w:tcPr>
          <w:p>
            <w:r>
              <w:rPr>
                <w:sz w:val="17"/>
              </w:rPr>
              <w:t>https://data.chubb.com/context/ins/policy.jsonld</w:t>
            </w:r>
          </w:p>
        </w:tc>
      </w:tr>
    </w:tbl>
    <w:p>
      <w:pPr>
        <w:spacing w:after="20"/>
      </w:pPr>
    </w:p>
    <w:p>
      <w:pPr>
        <w:spacing w:after="80"/>
      </w:pPr>
      <w:r>
        <w:rPr>
          <w:b/>
          <w:color w:val="1F4E78"/>
        </w:rPr>
        <w:t xml:space="preserve">NS-1  MUST - HTTPS only: </w:t>
      </w:r>
      <w:r>
        <w:t>All enterprise-minted IRIs use https://data.chubb.com/. Do not mint http, urn, file, localhost or tool-specific identifiers for enterprise terms.</w:t>
      </w:r>
    </w:p>
    <w:p>
      <w:pPr>
        <w:spacing w:after="80"/>
      </w:pPr>
      <w:r>
        <w:rPr>
          <w:b/>
          <w:color w:val="1F4E78"/>
        </w:rPr>
        <w:t xml:space="preserve">NS-2  MUST - Separate identity roots: </w:t>
      </w:r>
      <w:r>
        <w:t>Use /ontology/ for T-Box terms, /vocabulary/ for SKOS schemes, /shapes/ for shape resources and /resource/ for business/sample individuals. A class and an individual must never share the same address space.</w:t>
      </w:r>
    </w:p>
    <w:p>
      <w:pPr>
        <w:spacing w:after="80"/>
      </w:pPr>
      <w:r>
        <w:rPr>
          <w:b/>
          <w:color w:val="1F4E78"/>
        </w:rPr>
        <w:t xml:space="preserve">NS-3  MUST - Slash namespaces with trailing slash: </w:t>
      </w:r>
      <w:r>
        <w:t>Enterprise namespaces end in /. Local names append directly to the namespace. Keep external standards at their canonical published IRIs even if they use #.</w:t>
      </w:r>
    </w:p>
    <w:p>
      <w:pPr>
        <w:spacing w:after="80"/>
      </w:pPr>
      <w:r>
        <w:rPr>
          <w:b/>
          <w:color w:val="1F4E78"/>
        </w:rPr>
        <w:t xml:space="preserve">NS-4  MUST - Layer + module path: </w:t>
      </w:r>
      <w:r>
        <w:t>Use /{root}/{layer}/{module}/. Layer and module identifiers are lowercase, short, singular, stable and business meaningful.</w:t>
      </w:r>
    </w:p>
    <w:p>
      <w:pPr>
        <w:spacing w:after="80"/>
      </w:pPr>
      <w:r>
        <w:rPr>
          <w:b/>
          <w:color w:val="1F4E78"/>
        </w:rPr>
        <w:t xml:space="preserve">NS-5  MUST - Ontology IRI equals module namespace: </w:t>
      </w:r>
      <w:r>
        <w:t>The owl:Ontology IRI, @base, default prefix and declared preferred namespace URI must identify the same canonical module namespace.</w:t>
      </w:r>
    </w:p>
    <w:p>
      <w:pPr>
        <w:spacing w:after="80"/>
      </w:pPr>
      <w:r>
        <w:rPr>
          <w:b/>
          <w:color w:val="1F4E78"/>
        </w:rPr>
        <w:t xml:space="preserve">NS-6  MUST - No version in canonical term IRIs: </w:t>
      </w:r>
      <w:r>
        <w:t>A class such as policy:Policy keeps the same IRI across releases. Versions belong to the ontology snapshot/version IRI, not to term names.</w:t>
      </w:r>
    </w:p>
    <w:p>
      <w:pPr>
        <w:spacing w:after="80"/>
      </w:pPr>
      <w:r>
        <w:rPr>
          <w:b/>
          <w:color w:val="1F4E78"/>
        </w:rPr>
        <w:t xml:space="preserve">NS-7  MUST - Version IRI identifies the release snapshot: </w:t>
      </w:r>
      <w:r>
        <w:t>Use {namespace}{major.minor.patch}, for example https://data.chubb.com/ontology/ins/policy/1.4.0.</w:t>
      </w:r>
    </w:p>
    <w:p>
      <w:pPr>
        <w:spacing w:after="80"/>
      </w:pPr>
      <w:r>
        <w:rPr>
          <w:b/>
          <w:color w:val="1F4E78"/>
        </w:rPr>
        <w:t xml:space="preserve">NS-8  MUST - Do not reuse or recycle an IRI: </w:t>
      </w:r>
      <w:r>
        <w:t>An IRI that once meant one concept must never be reassigned to a different concept, even after deprecation.</w:t>
      </w:r>
    </w:p>
    <w:p>
      <w:pPr>
        <w:spacing w:after="80"/>
      </w:pPr>
      <w:r>
        <w:rPr>
          <w:b/>
          <w:color w:val="1F4E78"/>
        </w:rPr>
        <w:t xml:space="preserve">NS-9  MUST - Dereferenceable publication: </w:t>
      </w:r>
      <w:r>
        <w:t>Production namespace endpoints SHOULD resolve to current human/machine documentation or content-negotiated RDF. At minimum the organizational resolver must know the namespace and its owner.</w:t>
      </w:r>
    </w:p>
    <w:p>
      <w:pPr>
        <w:spacing w:after="80"/>
      </w:pPr>
      <w:r>
        <w:rPr>
          <w:b/>
          <w:color w:val="1F4E78"/>
        </w:rPr>
        <w:t xml:space="preserve">NS-10  MUST - Ownership before minting: </w:t>
      </w:r>
      <w:r>
        <w:t>A team may create terms only in namespaces registered to that team/module. Extending another module requires importing and linking to it, not writing into it.</w:t>
      </w:r>
    </w:p>
    <w:p>
      <w:pPr>
        <w:spacing w:after="80"/>
      </w:pPr>
      <w:r>
        <w:rPr>
          <w:b/>
          <w:color w:val="1F4E78"/>
        </w:rPr>
        <w:t xml:space="preserve">NS-11  MUST - No environment names in semantic identity: </w:t>
      </w:r>
      <w:r>
        <w:t>Do not include dev, test, qa, prod, region deployment names, Git branch names or database names in ontology/class/property IRIs.</w:t>
      </w:r>
    </w:p>
    <w:p>
      <w:pPr>
        <w:spacing w:after="80"/>
      </w:pPr>
      <w:r>
        <w:rPr>
          <w:b/>
          <w:color w:val="1F4E78"/>
        </w:rPr>
        <w:t xml:space="preserve">NS-12  MUST - No storage or implementation leakage: </w:t>
      </w:r>
      <w:r>
        <w:t>Do not encode table names, JSON paths, Kafka topic names, Java packages, vendor product names or physical storage paths in enterprise semantic IRIs unless the concept genuinely represents that implementation artifact.</w:t>
      </w:r>
    </w:p>
    <w:p>
      <w:r>
        <w:rPr>
          <w:b/>
        </w:rPr>
        <w:t>Correct extension pattern</w:t>
      </w:r>
    </w:p>
    <w:tbl>
      <w:tblPr>
        <w:tblW w:type="auto" w:w="0"/>
        <w:jc w:val="center"/>
        <w:tblLook w:firstColumn="1" w:firstRow="1" w:lastColumn="0" w:lastRow="0" w:noHBand="0" w:noVBand="1" w:val="04A0"/>
      </w:tblPr>
      <w:tblGrid>
        <w:gridCol w:w="10080"/>
      </w:tblGrid>
      <w:tr>
        <w:tc>
          <w:tcPr>
            <w:tcW w:type="dxa" w:w="10080"/>
            <w:shd w:fill="F3F4F6"/>
            <w:tcMar>
              <w:top w:w="90" w:type="dxa"/>
              <w:start w:w="130" w:type="dxa"/>
              <w:bottom w:w="90" w:type="dxa"/>
              <w:end w:w="130" w:type="dxa"/>
            </w:tcMar>
          </w:tcPr>
          <w:p>
            <w:pPr>
              <w:spacing w:after="0"/>
            </w:pPr>
            <w:r>
              <w:rPr>
                <w:rFonts w:ascii="Courier New" w:hAnsi="Courier New"/>
                <w:sz w:val="17"/>
              </w:rPr>
              <w:t>@prefix mrc:    &lt;https://data.chubb.com/ontology/marine/cargo/&gt; .</w:t>
            </w:r>
            <w:r>
              <w:br/>
            </w:r>
            <w:r>
              <w:rPr>
                <w:rFonts w:ascii="Courier New" w:hAnsi="Courier New"/>
                <w:sz w:val="17"/>
              </w:rPr>
              <w:t>@prefix policy: &lt;https://data.chubb.com/ontology/ins/policy/&gt; .</w:t>
            </w:r>
            <w:r>
              <w:br/>
            </w:r>
            <w:r>
              <w:rPr>
                <w:rFonts w:ascii="Courier New" w:hAnsi="Courier New"/>
                <w:sz w:val="17"/>
              </w:rPr>
            </w:r>
            <w:r>
              <w:br/>
            </w:r>
            <w:r>
              <w:rPr>
                <w:rFonts w:ascii="Courier New" w:hAnsi="Courier New"/>
                <w:sz w:val="17"/>
              </w:rPr>
              <w:t>&lt;https://data.chubb.com/ontology/marine/cargo/&gt;</w:t>
            </w:r>
            <w:r>
              <w:br/>
            </w:r>
            <w:r>
              <w:rPr>
                <w:rFonts w:ascii="Courier New" w:hAnsi="Courier New"/>
                <w:sz w:val="17"/>
              </w:rPr>
              <w:t xml:space="preserve">    a owl:Ontology ;</w:t>
            </w:r>
            <w:r>
              <w:br/>
            </w:r>
            <w:r>
              <w:rPr>
                <w:rFonts w:ascii="Courier New" w:hAnsi="Courier New"/>
                <w:sz w:val="17"/>
              </w:rPr>
              <w:t xml:space="preserve">    owl:imports &lt;https://data.chubb.com/ontology/ins/policy/&gt; ;</w:t>
            </w:r>
            <w:r>
              <w:br/>
            </w:r>
            <w:r>
              <w:rPr>
                <w:rFonts w:ascii="Courier New" w:hAnsi="Courier New"/>
                <w:sz w:val="17"/>
              </w:rPr>
              <w:t xml:space="preserve">    owl:versionIRI &lt;https://data.chubb.com/ontology/marine/cargo/1.0.0&gt; .</w:t>
            </w:r>
            <w:r>
              <w:br/>
            </w:r>
            <w:r>
              <w:rPr>
                <w:rFonts w:ascii="Courier New" w:hAnsi="Courier New"/>
                <w:sz w:val="17"/>
              </w:rPr>
            </w:r>
            <w:r>
              <w:br/>
            </w:r>
            <w:r>
              <w:rPr>
                <w:rFonts w:ascii="Courier New" w:hAnsi="Courier New"/>
                <w:sz w:val="17"/>
              </w:rPr>
              <w:t>mrc:CargoPolicy</w:t>
            </w:r>
            <w:r>
              <w:br/>
            </w:r>
            <w:r>
              <w:rPr>
                <w:rFonts w:ascii="Courier New" w:hAnsi="Courier New"/>
                <w:sz w:val="17"/>
              </w:rPr>
              <w:t xml:space="preserve">    a owl:Class ;</w:t>
            </w:r>
            <w:r>
              <w:br/>
            </w:r>
            <w:r>
              <w:rPr>
                <w:rFonts w:ascii="Courier New" w:hAnsi="Courier New"/>
                <w:sz w:val="17"/>
              </w:rPr>
              <w:t xml:space="preserve">    rdfs:subClassOf policy:Policy .</w:t>
            </w:r>
          </w:p>
        </w:tc>
      </w:tr>
    </w:tbl>
    <w:p>
      <w:pPr>
        <w:spacing w:after="20"/>
      </w:pPr>
    </w:p>
    <w:p>
      <w:pPr>
        <w:pStyle w:val="Heading1"/>
      </w:pPr>
      <w:r>
        <w:t>6. Prefix Policy</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016"/>
            <w:shd w:fill="1F4E78"/>
            <w:vAlign w:val="center"/>
            <w:tcMar>
              <w:top w:w="80" w:type="dxa"/>
              <w:start w:w="90" w:type="dxa"/>
              <w:bottom w:w="80" w:type="dxa"/>
              <w:end w:w="90" w:type="dxa"/>
            </w:tcMar>
          </w:tcPr>
          <w:p>
            <w:r>
              <w:rPr>
                <w:b/>
                <w:color w:val="FFFFFF"/>
                <w:sz w:val="18"/>
              </w:rPr>
              <w:t>Rule</w:t>
            </w:r>
          </w:p>
        </w:tc>
        <w:tc>
          <w:tcPr>
            <w:tcW w:type="dxa" w:w="8208"/>
            <w:shd w:fill="1F4E78"/>
            <w:vAlign w:val="center"/>
            <w:tcMar>
              <w:top w:w="80" w:type="dxa"/>
              <w:start w:w="90" w:type="dxa"/>
              <w:bottom w:w="80" w:type="dxa"/>
              <w:end w:w="90" w:type="dxa"/>
            </w:tcMar>
          </w:tcPr>
          <w:p>
            <w:r>
              <w:rPr>
                <w:b/>
                <w:color w:val="FFFFFF"/>
                <w:sz w:val="18"/>
              </w:rPr>
              <w:t>Standard</w:t>
            </w:r>
          </w:p>
        </w:tc>
      </w:tr>
      <w:tr>
        <w:tc>
          <w:tcPr>
            <w:tcW w:type="dxa" w:w="2016"/>
            <w:vAlign w:val="top"/>
            <w:tcMar>
              <w:top w:w="80" w:type="dxa"/>
              <w:start w:w="90" w:type="dxa"/>
              <w:bottom w:w="80" w:type="dxa"/>
              <w:end w:w="90" w:type="dxa"/>
            </w:tcMar>
          </w:tcPr>
          <w:p>
            <w:r>
              <w:rPr>
                <w:sz w:val="17"/>
              </w:rPr>
              <w:t>Format</w:t>
            </w:r>
          </w:p>
        </w:tc>
        <w:tc>
          <w:tcPr>
            <w:tcW w:type="dxa" w:w="8208"/>
            <w:vAlign w:val="top"/>
            <w:tcMar>
              <w:top w:w="80" w:type="dxa"/>
              <w:start w:w="90" w:type="dxa"/>
              <w:bottom w:w="80" w:type="dxa"/>
              <w:end w:w="90" w:type="dxa"/>
            </w:tcMar>
          </w:tcPr>
          <w:p>
            <w:r>
              <w:rPr>
                <w:sz w:val="17"/>
              </w:rPr>
              <w:t>Lowercase ASCII, normally 2-8 characters; no spaces; no trailing colon in registry values.</w:t>
            </w:r>
          </w:p>
        </w:tc>
      </w:tr>
      <w:tr>
        <w:tc>
          <w:tcPr>
            <w:tcW w:type="dxa" w:w="2016"/>
            <w:vAlign w:val="top"/>
            <w:tcMar>
              <w:top w:w="80" w:type="dxa"/>
              <w:start w:w="90" w:type="dxa"/>
              <w:bottom w:w="80" w:type="dxa"/>
              <w:end w:w="90" w:type="dxa"/>
            </w:tcMar>
          </w:tcPr>
          <w:p>
            <w:r>
              <w:rPr>
                <w:sz w:val="17"/>
              </w:rPr>
              <w:t>Stability</w:t>
            </w:r>
          </w:p>
        </w:tc>
        <w:tc>
          <w:tcPr>
            <w:tcW w:type="dxa" w:w="8208"/>
            <w:vAlign w:val="top"/>
            <w:tcMar>
              <w:top w:w="80" w:type="dxa"/>
              <w:start w:w="90" w:type="dxa"/>
              <w:bottom w:w="80" w:type="dxa"/>
              <w:end w:w="90" w:type="dxa"/>
            </w:tcMar>
          </w:tcPr>
          <w:p>
            <w:r>
              <w:rPr>
                <w:sz w:val="17"/>
              </w:rPr>
              <w:t>Once published, the preferred prefix remains stable even if internal team names change.</w:t>
            </w:r>
          </w:p>
        </w:tc>
      </w:tr>
      <w:tr>
        <w:tc>
          <w:tcPr>
            <w:tcW w:type="dxa" w:w="2016"/>
            <w:vAlign w:val="top"/>
            <w:tcMar>
              <w:top w:w="80" w:type="dxa"/>
              <w:start w:w="90" w:type="dxa"/>
              <w:bottom w:w="80" w:type="dxa"/>
              <w:end w:w="90" w:type="dxa"/>
            </w:tcMar>
          </w:tcPr>
          <w:p>
            <w:r>
              <w:rPr>
                <w:sz w:val="17"/>
              </w:rPr>
              <w:t>Uniqueness</w:t>
            </w:r>
          </w:p>
        </w:tc>
        <w:tc>
          <w:tcPr>
            <w:tcW w:type="dxa" w:w="8208"/>
            <w:vAlign w:val="top"/>
            <w:tcMar>
              <w:top w:w="80" w:type="dxa"/>
              <w:start w:w="90" w:type="dxa"/>
              <w:bottom w:w="80" w:type="dxa"/>
              <w:end w:w="90" w:type="dxa"/>
            </w:tcMar>
          </w:tcPr>
          <w:p>
            <w:r>
              <w:rPr>
                <w:sz w:val="17"/>
              </w:rPr>
              <w:t>One preferred prefix maps to one namespace in the enterprise registry.</w:t>
            </w:r>
          </w:p>
        </w:tc>
      </w:tr>
      <w:tr>
        <w:tc>
          <w:tcPr>
            <w:tcW w:type="dxa" w:w="2016"/>
            <w:vAlign w:val="top"/>
            <w:tcMar>
              <w:top w:w="80" w:type="dxa"/>
              <w:start w:w="90" w:type="dxa"/>
              <w:bottom w:w="80" w:type="dxa"/>
              <w:end w:w="90" w:type="dxa"/>
            </w:tcMar>
          </w:tcPr>
          <w:p>
            <w:r>
              <w:rPr>
                <w:sz w:val="17"/>
              </w:rPr>
              <w:t>Consistency</w:t>
            </w:r>
          </w:p>
        </w:tc>
        <w:tc>
          <w:tcPr>
            <w:tcW w:type="dxa" w:w="8208"/>
            <w:vAlign w:val="top"/>
            <w:tcMar>
              <w:top w:w="80" w:type="dxa"/>
              <w:start w:w="90" w:type="dxa"/>
              <w:bottom w:w="80" w:type="dxa"/>
              <w:end w:w="90" w:type="dxa"/>
            </w:tcMar>
          </w:tcPr>
          <w:p>
            <w:r>
              <w:rPr>
                <w:sz w:val="17"/>
              </w:rPr>
              <w:t>Use the same prefix in the ontology header, examples, mappings, SPARQL and documentation.</w:t>
            </w:r>
          </w:p>
        </w:tc>
      </w:tr>
      <w:tr>
        <w:tc>
          <w:tcPr>
            <w:tcW w:type="dxa" w:w="2016"/>
            <w:vAlign w:val="top"/>
            <w:tcMar>
              <w:top w:w="80" w:type="dxa"/>
              <w:start w:w="90" w:type="dxa"/>
              <w:bottom w:w="80" w:type="dxa"/>
              <w:end w:w="90" w:type="dxa"/>
            </w:tcMar>
          </w:tcPr>
          <w:p>
            <w:r>
              <w:rPr>
                <w:sz w:val="17"/>
              </w:rPr>
              <w:t>External vocabularies</w:t>
            </w:r>
          </w:p>
        </w:tc>
        <w:tc>
          <w:tcPr>
            <w:tcW w:type="dxa" w:w="8208"/>
            <w:vAlign w:val="top"/>
            <w:tcMar>
              <w:top w:w="80" w:type="dxa"/>
              <w:start w:w="90" w:type="dxa"/>
              <w:bottom w:w="80" w:type="dxa"/>
              <w:end w:w="90" w:type="dxa"/>
            </w:tcMar>
          </w:tcPr>
          <w:p>
            <w:r>
              <w:rPr>
                <w:sz w:val="17"/>
              </w:rPr>
              <w:t>Use community-standard prefixes such as rdf, rdfs, owl, xsd, skos, dct, prov, time where applicable.</w:t>
            </w:r>
          </w:p>
        </w:tc>
      </w:tr>
      <w:tr>
        <w:tc>
          <w:tcPr>
            <w:tcW w:type="dxa" w:w="2016"/>
            <w:vAlign w:val="top"/>
            <w:tcMar>
              <w:top w:w="80" w:type="dxa"/>
              <w:start w:w="90" w:type="dxa"/>
              <w:bottom w:w="80" w:type="dxa"/>
              <w:end w:w="90" w:type="dxa"/>
            </w:tcMar>
          </w:tcPr>
          <w:p>
            <w:r>
              <w:rPr>
                <w:sz w:val="17"/>
              </w:rPr>
              <w:t>Collision handling</w:t>
            </w:r>
          </w:p>
        </w:tc>
        <w:tc>
          <w:tcPr>
            <w:tcW w:type="dxa" w:w="8208"/>
            <w:vAlign w:val="top"/>
            <w:tcMar>
              <w:top w:w="80" w:type="dxa"/>
              <w:start w:w="90" w:type="dxa"/>
              <w:bottom w:w="80" w:type="dxa"/>
              <w:end w:w="90" w:type="dxa"/>
            </w:tcMar>
          </w:tcPr>
          <w:p>
            <w:r>
              <w:rPr>
                <w:sz w:val="17"/>
              </w:rPr>
              <w:t>Do not invent local aliases for convenience if they collide with registered enterprise prefixes. Resolve through governance.</w:t>
            </w:r>
          </w:p>
        </w:tc>
      </w:tr>
    </w:tbl>
    <w:p>
      <w:pPr>
        <w:spacing w:after="20"/>
      </w:pPr>
    </w:p>
    <w:p>
      <w:pPr>
        <w:spacing w:after="80"/>
      </w:pPr>
      <w:r>
        <w:rPr>
          <w:b/>
          <w:color w:val="1F4E78"/>
        </w:rPr>
        <w:t xml:space="preserve">PFX-1  MUST - Register before use: </w:t>
      </w:r>
      <w:r>
        <w:t>A new namespace/prefix pair must be registered in config/prefixes.yml or the enterprise namespace registry before merge.</w:t>
      </w:r>
    </w:p>
    <w:p>
      <w:pPr>
        <w:spacing w:after="80"/>
      </w:pPr>
      <w:r>
        <w:rPr>
          <w:b/>
          <w:color w:val="1F4E78"/>
        </w:rPr>
        <w:t xml:space="preserve">PFX-2  MUST - Declare only used prefixes: </w:t>
      </w:r>
      <w:r>
        <w:t>Production Turtle files should not accumulate unused prefix declarations.</w:t>
      </w:r>
    </w:p>
    <w:p>
      <w:pPr>
        <w:spacing w:after="80"/>
      </w:pPr>
      <w:r>
        <w:rPr>
          <w:b/>
          <w:color w:val="1F4E78"/>
        </w:rPr>
        <w:t xml:space="preserve">PFX-3  SHOULD - Prefer recognizable business abbreviations: </w:t>
      </w:r>
      <w:r>
        <w:t>policy:, claim:, cov:, party:, mrc: are preferable to cryptic numeric or project-code prefixes.</w:t>
      </w:r>
    </w:p>
    <w:p>
      <w:pPr>
        <w:spacing w:after="80"/>
      </w:pPr>
      <w:r>
        <w:rPr>
          <w:b/>
          <w:color w:val="1F4E78"/>
        </w:rPr>
        <w:t xml:space="preserve">PFX-4  MUST - Keep prefix comments synchronized: </w:t>
      </w:r>
      <w:r>
        <w:t>If file headers declare baseURI, prefix or imports, those comments must match the actual RDF declarations exactly.</w:t>
      </w:r>
    </w:p>
    <w:p>
      <w:pPr>
        <w:pStyle w:val="Heading1"/>
      </w:pPr>
      <w:r>
        <w:t>7. Ontology Module Design and Import Rules</w:t>
      </w:r>
    </w:p>
    <w:p>
      <w:r>
        <w:t>A module is a coherent set of concepts that can be understood, owned, tested and versioned together. Modularization is based on semantic responsibility and governance boundaries, not arbitrary file size.</w:t>
      </w:r>
    </w:p>
    <w:p>
      <w:pPr>
        <w:pStyle w:val="ListBullet"/>
        <w:spacing w:after="40"/>
      </w:pPr>
      <w:r>
        <w:t>Foundation (fnd/) modules contain cross-domain concepts with a high reuse threshold: identifiers, organizations, locations, time, agents, agreements and similar enterprise-wide abstractions.</w:t>
      </w:r>
    </w:p>
    <w:p>
      <w:pPr>
        <w:pStyle w:val="ListBullet"/>
        <w:spacing w:after="40"/>
      </w:pPr>
      <w:r>
        <w:t>Domain modules such as ins/policy, ins/claim and ins/coverage model stable domain concepts and import the foundation they require.</w:t>
      </w:r>
    </w:p>
    <w:p>
      <w:pPr>
        <w:pStyle w:val="ListBullet"/>
        <w:spacing w:after="40"/>
      </w:pPr>
      <w:r>
        <w:t>Line-of-business, regional or partner extensions get their own namespaces and modules. They import the base domain model and specialize it.</w:t>
      </w:r>
    </w:p>
    <w:p>
      <w:pPr>
        <w:pStyle w:val="ListBullet"/>
        <w:spacing w:after="40"/>
      </w:pPr>
      <w:r>
        <w:t>Governance and competency metadata belongs outside the business ontology module unless it is itself part of the business domain model.</w:t>
      </w:r>
    </w:p>
    <w:p>
      <w:pPr>
        <w:pStyle w:val="ListBullet"/>
        <w:spacing w:after="40"/>
      </w:pPr>
      <w:r>
        <w:t>Module boundaries should align with ownership and release cadence. Foundation modules change slowly; domain/extension modules can evolve faster.</w:t>
      </w:r>
    </w:p>
    <w:p>
      <w:pPr>
        <w:spacing w:after="80"/>
      </w:pPr>
      <w:r>
        <w:rPr>
          <w:b/>
          <w:color w:val="1F4E78"/>
        </w:rPr>
        <w:t xml:space="preserve">MOD-1  MUST - Acyclic import graph: </w:t>
      </w:r>
      <w:r>
        <w:t>Circular owl:imports dependencies are prohibited. CI must fail when a cycle is introduced.</w:t>
      </w:r>
    </w:p>
    <w:p>
      <w:pPr>
        <w:spacing w:after="80"/>
      </w:pPr>
      <w:r>
        <w:rPr>
          <w:b/>
          <w:color w:val="1F4E78"/>
        </w:rPr>
        <w:t xml:space="preserve">MOD-2  MUST - Downward dependency: </w:t>
      </w:r>
      <w:r>
        <w:t>Extensions import domain modules; domain modules import foundation modules. Foundation modules must not import business-domain extensions.</w:t>
      </w:r>
    </w:p>
    <w:p>
      <w:pPr>
        <w:spacing w:after="80"/>
      </w:pPr>
      <w:r>
        <w:rPr>
          <w:b/>
          <w:color w:val="1F4E78"/>
        </w:rPr>
        <w:t xml:space="preserve">MOD-3  MUST - No shapes/sample imports into T-Box: </w:t>
      </w:r>
      <w:r>
        <w:t>An ontology module may import ontology modules only. SHACL, A-Box fixtures and CQ artifacts do not belong in the T-Box import closure.</w:t>
      </w:r>
    </w:p>
    <w:p>
      <w:pPr>
        <w:spacing w:after="80"/>
      </w:pPr>
      <w:r>
        <w:rPr>
          <w:b/>
          <w:color w:val="1F4E78"/>
        </w:rPr>
        <w:t xml:space="preserve">MOD-4  SHOULD - Minimal imports: </w:t>
      </w:r>
      <w:r>
        <w:t>Import only modules whose semantics are actually required. Avoid importing a large umbrella ontology when a smaller stable module is sufficient.</w:t>
      </w:r>
    </w:p>
    <w:p>
      <w:pPr>
        <w:spacing w:after="80"/>
      </w:pPr>
      <w:r>
        <w:rPr>
          <w:b/>
          <w:color w:val="1F4E78"/>
        </w:rPr>
        <w:t xml:space="preserve">MOD-5  SHOULD - Cohesive scope: </w:t>
      </w:r>
      <w:r>
        <w:t>If two groups of concepts can be owned/released independently and have few cross-dependencies, they should usually be separate modules.</w:t>
      </w:r>
    </w:p>
    <w:p>
      <w:pPr>
        <w:spacing w:after="80"/>
      </w:pPr>
      <w:r>
        <w:rPr>
          <w:b/>
          <w:color w:val="1F4E78"/>
        </w:rPr>
        <w:t xml:space="preserve">MOD-6  MUST - No duplicate definitions: </w:t>
      </w:r>
      <w:r>
        <w:t>A class/property has one owning module. Other modules refer to it; they do not copy its declaration.</w:t>
      </w:r>
    </w:p>
    <w:p>
      <w:pPr>
        <w:spacing w:after="80"/>
      </w:pPr>
      <w:r>
        <w:rPr>
          <w:b/>
          <w:color w:val="1F4E78"/>
        </w:rPr>
        <w:t xml:space="preserve">MOD-7  MUST - No convenience redefinition: </w:t>
      </w:r>
      <w:r>
        <w:t>Do not repeat domains, ranges, labels or restrictions in an extension merely to make the file self-contained. Import or reference the owner.</w:t>
      </w:r>
    </w:p>
    <w:p>
      <w:pPr>
        <w:pStyle w:val="Heading1"/>
      </w:pPr>
      <w:r>
        <w:t>8. Naming Conventions for Classes, Properties and Individuals</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1800"/>
            <w:shd w:fill="1F4E78"/>
            <w:vAlign w:val="center"/>
            <w:tcMar>
              <w:top w:w="80" w:type="dxa"/>
              <w:start w:w="90" w:type="dxa"/>
              <w:bottom w:w="80" w:type="dxa"/>
              <w:end w:w="90" w:type="dxa"/>
            </w:tcMar>
          </w:tcPr>
          <w:p>
            <w:r>
              <w:rPr>
                <w:b/>
                <w:color w:val="FFFFFF"/>
                <w:sz w:val="18"/>
              </w:rPr>
              <w:t>Element</w:t>
            </w:r>
          </w:p>
        </w:tc>
        <w:tc>
          <w:tcPr>
            <w:tcW w:type="dxa" w:w="2880"/>
            <w:shd w:fill="1F4E78"/>
            <w:vAlign w:val="center"/>
            <w:tcMar>
              <w:top w:w="80" w:type="dxa"/>
              <w:start w:w="90" w:type="dxa"/>
              <w:bottom w:w="80" w:type="dxa"/>
              <w:end w:w="90" w:type="dxa"/>
            </w:tcMar>
          </w:tcPr>
          <w:p>
            <w:r>
              <w:rPr>
                <w:b/>
                <w:color w:val="FFFFFF"/>
                <w:sz w:val="18"/>
              </w:rPr>
              <w:t>Naming convention</w:t>
            </w:r>
          </w:p>
        </w:tc>
        <w:tc>
          <w:tcPr>
            <w:tcW w:type="dxa" w:w="2376"/>
            <w:shd w:fill="1F4E78"/>
            <w:vAlign w:val="center"/>
            <w:tcMar>
              <w:top w:w="80" w:type="dxa"/>
              <w:start w:w="90" w:type="dxa"/>
              <w:bottom w:w="80" w:type="dxa"/>
              <w:end w:w="90" w:type="dxa"/>
            </w:tcMar>
          </w:tcPr>
          <w:p>
            <w:r>
              <w:rPr>
                <w:b/>
                <w:color w:val="FFFFFF"/>
                <w:sz w:val="18"/>
              </w:rPr>
              <w:t>Example</w:t>
            </w:r>
          </w:p>
        </w:tc>
        <w:tc>
          <w:tcPr>
            <w:tcW w:type="dxa" w:w="3384"/>
            <w:shd w:fill="1F4E78"/>
            <w:vAlign w:val="center"/>
            <w:tcMar>
              <w:top w:w="80" w:type="dxa"/>
              <w:start w:w="90" w:type="dxa"/>
              <w:bottom w:w="80" w:type="dxa"/>
              <w:end w:w="90" w:type="dxa"/>
            </w:tcMar>
          </w:tcPr>
          <w:p>
            <w:r>
              <w:rPr>
                <w:b/>
                <w:color w:val="FFFFFF"/>
                <w:sz w:val="18"/>
              </w:rPr>
              <w:t>Notes</w:t>
            </w:r>
          </w:p>
        </w:tc>
      </w:tr>
      <w:tr>
        <w:tc>
          <w:tcPr>
            <w:tcW w:type="dxa" w:w="1800"/>
            <w:vAlign w:val="top"/>
            <w:tcMar>
              <w:top w:w="80" w:type="dxa"/>
              <w:start w:w="90" w:type="dxa"/>
              <w:bottom w:w="80" w:type="dxa"/>
              <w:end w:w="90" w:type="dxa"/>
            </w:tcMar>
          </w:tcPr>
          <w:p>
            <w:r>
              <w:rPr>
                <w:sz w:val="17"/>
              </w:rPr>
              <w:t>OWL class</w:t>
            </w:r>
          </w:p>
        </w:tc>
        <w:tc>
          <w:tcPr>
            <w:tcW w:type="dxa" w:w="2880"/>
            <w:vAlign w:val="top"/>
            <w:tcMar>
              <w:top w:w="80" w:type="dxa"/>
              <w:start w:w="90" w:type="dxa"/>
              <w:bottom w:w="80" w:type="dxa"/>
              <w:end w:w="90" w:type="dxa"/>
            </w:tcMar>
          </w:tcPr>
          <w:p>
            <w:r>
              <w:rPr>
                <w:sz w:val="17"/>
              </w:rPr>
              <w:t>UpperCamelCase, singular noun or noun phrase</w:t>
            </w:r>
          </w:p>
        </w:tc>
        <w:tc>
          <w:tcPr>
            <w:tcW w:type="dxa" w:w="2376"/>
            <w:vAlign w:val="top"/>
            <w:tcMar>
              <w:top w:w="80" w:type="dxa"/>
              <w:start w:w="90" w:type="dxa"/>
              <w:bottom w:w="80" w:type="dxa"/>
              <w:end w:w="90" w:type="dxa"/>
            </w:tcMar>
          </w:tcPr>
          <w:p>
            <w:r>
              <w:rPr>
                <w:sz w:val="17"/>
              </w:rPr>
              <w:t>Policy, InsuranceClaim, LegalEntity</w:t>
            </w:r>
          </w:p>
        </w:tc>
        <w:tc>
          <w:tcPr>
            <w:tcW w:type="dxa" w:w="3384"/>
            <w:vAlign w:val="top"/>
            <w:tcMar>
              <w:top w:w="80" w:type="dxa"/>
              <w:start w:w="90" w:type="dxa"/>
              <w:bottom w:w="80" w:type="dxa"/>
              <w:end w:w="90" w:type="dxa"/>
            </w:tcMar>
          </w:tcPr>
          <w:p>
            <w:r>
              <w:rPr>
                <w:sz w:val="17"/>
              </w:rPr>
              <w:t>Names a type of thing, not a field or action</w:t>
            </w:r>
          </w:p>
        </w:tc>
      </w:tr>
      <w:tr>
        <w:tc>
          <w:tcPr>
            <w:tcW w:type="dxa" w:w="1800"/>
            <w:vAlign w:val="top"/>
            <w:tcMar>
              <w:top w:w="80" w:type="dxa"/>
              <w:start w:w="90" w:type="dxa"/>
              <w:bottom w:w="80" w:type="dxa"/>
              <w:end w:w="90" w:type="dxa"/>
            </w:tcMar>
          </w:tcPr>
          <w:p>
            <w:r>
              <w:rPr>
                <w:sz w:val="17"/>
              </w:rPr>
              <w:t>Object property</w:t>
            </w:r>
          </w:p>
        </w:tc>
        <w:tc>
          <w:tcPr>
            <w:tcW w:type="dxa" w:w="2880"/>
            <w:vAlign w:val="top"/>
            <w:tcMar>
              <w:top w:w="80" w:type="dxa"/>
              <w:start w:w="90" w:type="dxa"/>
              <w:bottom w:w="80" w:type="dxa"/>
              <w:end w:w="90" w:type="dxa"/>
            </w:tcMar>
          </w:tcPr>
          <w:p>
            <w:r>
              <w:rPr>
                <w:sz w:val="17"/>
              </w:rPr>
              <w:t>lowerCamelCase verb/relationship phrase</w:t>
            </w:r>
          </w:p>
        </w:tc>
        <w:tc>
          <w:tcPr>
            <w:tcW w:type="dxa" w:w="2376"/>
            <w:vAlign w:val="top"/>
            <w:tcMar>
              <w:top w:w="80" w:type="dxa"/>
              <w:start w:w="90" w:type="dxa"/>
              <w:bottom w:w="80" w:type="dxa"/>
              <w:end w:w="90" w:type="dxa"/>
            </w:tcMar>
          </w:tcPr>
          <w:p>
            <w:r>
              <w:rPr>
                <w:sz w:val="17"/>
              </w:rPr>
              <w:t>hasCoverage, issuedBy, locatedIn</w:t>
            </w:r>
          </w:p>
        </w:tc>
        <w:tc>
          <w:tcPr>
            <w:tcW w:type="dxa" w:w="3384"/>
            <w:vAlign w:val="top"/>
            <w:tcMar>
              <w:top w:w="80" w:type="dxa"/>
              <w:start w:w="90" w:type="dxa"/>
              <w:bottom w:w="80" w:type="dxa"/>
              <w:end w:w="90" w:type="dxa"/>
            </w:tcMar>
          </w:tcPr>
          <w:p>
            <w:r>
              <w:rPr>
                <w:sz w:val="17"/>
              </w:rPr>
              <w:t>Relationship between resources</w:t>
            </w:r>
          </w:p>
        </w:tc>
      </w:tr>
      <w:tr>
        <w:tc>
          <w:tcPr>
            <w:tcW w:type="dxa" w:w="1800"/>
            <w:vAlign w:val="top"/>
            <w:tcMar>
              <w:top w:w="80" w:type="dxa"/>
              <w:start w:w="90" w:type="dxa"/>
              <w:bottom w:w="80" w:type="dxa"/>
              <w:end w:w="90" w:type="dxa"/>
            </w:tcMar>
          </w:tcPr>
          <w:p>
            <w:r>
              <w:rPr>
                <w:sz w:val="17"/>
              </w:rPr>
              <w:t>Datatype property</w:t>
            </w:r>
          </w:p>
        </w:tc>
        <w:tc>
          <w:tcPr>
            <w:tcW w:type="dxa" w:w="2880"/>
            <w:vAlign w:val="top"/>
            <w:tcMar>
              <w:top w:w="80" w:type="dxa"/>
              <w:start w:w="90" w:type="dxa"/>
              <w:bottom w:w="80" w:type="dxa"/>
              <w:end w:w="90" w:type="dxa"/>
            </w:tcMar>
          </w:tcPr>
          <w:p>
            <w:r>
              <w:rPr>
                <w:sz w:val="17"/>
              </w:rPr>
              <w:t>lowerCamelCase descriptive phrase</w:t>
            </w:r>
          </w:p>
        </w:tc>
        <w:tc>
          <w:tcPr>
            <w:tcW w:type="dxa" w:w="2376"/>
            <w:vAlign w:val="top"/>
            <w:tcMar>
              <w:top w:w="80" w:type="dxa"/>
              <w:start w:w="90" w:type="dxa"/>
              <w:bottom w:w="80" w:type="dxa"/>
              <w:end w:w="90" w:type="dxa"/>
            </w:tcMar>
          </w:tcPr>
          <w:p>
            <w:r>
              <w:rPr>
                <w:sz w:val="17"/>
              </w:rPr>
              <w:t>policyNumber, effectiveDate, premiumAmount</w:t>
            </w:r>
          </w:p>
        </w:tc>
        <w:tc>
          <w:tcPr>
            <w:tcW w:type="dxa" w:w="3384"/>
            <w:vAlign w:val="top"/>
            <w:tcMar>
              <w:top w:w="80" w:type="dxa"/>
              <w:start w:w="90" w:type="dxa"/>
              <w:bottom w:w="80" w:type="dxa"/>
              <w:end w:w="90" w:type="dxa"/>
            </w:tcMar>
          </w:tcPr>
          <w:p>
            <w:r>
              <w:rPr>
                <w:sz w:val="17"/>
              </w:rPr>
              <w:t>Value-bearing attribute</w:t>
            </w:r>
          </w:p>
        </w:tc>
      </w:tr>
      <w:tr>
        <w:tc>
          <w:tcPr>
            <w:tcW w:type="dxa" w:w="1800"/>
            <w:vAlign w:val="top"/>
            <w:tcMar>
              <w:top w:w="80" w:type="dxa"/>
              <w:start w:w="90" w:type="dxa"/>
              <w:bottom w:w="80" w:type="dxa"/>
              <w:end w:w="90" w:type="dxa"/>
            </w:tcMar>
          </w:tcPr>
          <w:p>
            <w:r>
              <w:rPr>
                <w:sz w:val="17"/>
              </w:rPr>
              <w:t>Annotation property</w:t>
            </w:r>
          </w:p>
        </w:tc>
        <w:tc>
          <w:tcPr>
            <w:tcW w:type="dxa" w:w="2880"/>
            <w:vAlign w:val="top"/>
            <w:tcMar>
              <w:top w:w="80" w:type="dxa"/>
              <w:start w:w="90" w:type="dxa"/>
              <w:bottom w:w="80" w:type="dxa"/>
              <w:end w:w="90" w:type="dxa"/>
            </w:tcMar>
          </w:tcPr>
          <w:p>
            <w:r>
              <w:rPr>
                <w:sz w:val="17"/>
              </w:rPr>
              <w:t>lowerCamelCase descriptive phrase</w:t>
            </w:r>
          </w:p>
        </w:tc>
        <w:tc>
          <w:tcPr>
            <w:tcW w:type="dxa" w:w="2376"/>
            <w:vAlign w:val="top"/>
            <w:tcMar>
              <w:top w:w="80" w:type="dxa"/>
              <w:start w:w="90" w:type="dxa"/>
              <w:bottom w:w="80" w:type="dxa"/>
              <w:end w:w="90" w:type="dxa"/>
            </w:tcMar>
          </w:tcPr>
          <w:p>
            <w:r>
              <w:rPr>
                <w:sz w:val="17"/>
              </w:rPr>
              <w:t>businessDefinition, sourceSystem</w:t>
            </w:r>
          </w:p>
        </w:tc>
        <w:tc>
          <w:tcPr>
            <w:tcW w:type="dxa" w:w="3384"/>
            <w:vAlign w:val="top"/>
            <w:tcMar>
              <w:top w:w="80" w:type="dxa"/>
              <w:start w:w="90" w:type="dxa"/>
              <w:bottom w:w="80" w:type="dxa"/>
              <w:end w:w="90" w:type="dxa"/>
            </w:tcMar>
          </w:tcPr>
          <w:p>
            <w:r>
              <w:rPr>
                <w:sz w:val="17"/>
              </w:rPr>
              <w:t>Non-logical metadata</w:t>
            </w:r>
          </w:p>
        </w:tc>
      </w:tr>
      <w:tr>
        <w:tc>
          <w:tcPr>
            <w:tcW w:type="dxa" w:w="1800"/>
            <w:vAlign w:val="top"/>
            <w:tcMar>
              <w:top w:w="80" w:type="dxa"/>
              <w:start w:w="90" w:type="dxa"/>
              <w:bottom w:w="80" w:type="dxa"/>
              <w:end w:w="90" w:type="dxa"/>
            </w:tcMar>
          </w:tcPr>
          <w:p>
            <w:r>
              <w:rPr>
                <w:sz w:val="17"/>
              </w:rPr>
              <w:t>Named individual</w:t>
            </w:r>
          </w:p>
        </w:tc>
        <w:tc>
          <w:tcPr>
            <w:tcW w:type="dxa" w:w="2880"/>
            <w:vAlign w:val="top"/>
            <w:tcMar>
              <w:top w:w="80" w:type="dxa"/>
              <w:start w:w="90" w:type="dxa"/>
              <w:bottom w:w="80" w:type="dxa"/>
              <w:end w:w="90" w:type="dxa"/>
            </w:tcMar>
          </w:tcPr>
          <w:p>
            <w:r>
              <w:rPr>
                <w:sz w:val="17"/>
              </w:rPr>
              <w:t>Readable stable token or safe business identifier</w:t>
            </w:r>
          </w:p>
        </w:tc>
        <w:tc>
          <w:tcPr>
            <w:tcW w:type="dxa" w:w="2376"/>
            <w:vAlign w:val="top"/>
            <w:tcMar>
              <w:top w:w="80" w:type="dxa"/>
              <w:start w:w="90" w:type="dxa"/>
              <w:bottom w:w="80" w:type="dxa"/>
              <w:end w:w="90" w:type="dxa"/>
            </w:tcMar>
          </w:tcPr>
          <w:p>
            <w:r>
              <w:rPr>
                <w:sz w:val="17"/>
              </w:rPr>
              <w:t>Policy-PN100, ExampleInsurer</w:t>
            </w:r>
          </w:p>
        </w:tc>
        <w:tc>
          <w:tcPr>
            <w:tcW w:type="dxa" w:w="3384"/>
            <w:vAlign w:val="top"/>
            <w:tcMar>
              <w:top w:w="80" w:type="dxa"/>
              <w:start w:w="90" w:type="dxa"/>
              <w:bottom w:w="80" w:type="dxa"/>
              <w:end w:w="90" w:type="dxa"/>
            </w:tcMar>
          </w:tcPr>
          <w:p>
            <w:r>
              <w:rPr>
                <w:sz w:val="17"/>
              </w:rPr>
              <w:t>Avoid unstable display labels as identity</w:t>
            </w:r>
          </w:p>
        </w:tc>
      </w:tr>
      <w:tr>
        <w:tc>
          <w:tcPr>
            <w:tcW w:type="dxa" w:w="1800"/>
            <w:vAlign w:val="top"/>
            <w:tcMar>
              <w:top w:w="80" w:type="dxa"/>
              <w:start w:w="90" w:type="dxa"/>
              <w:bottom w:w="80" w:type="dxa"/>
              <w:end w:w="90" w:type="dxa"/>
            </w:tcMar>
          </w:tcPr>
          <w:p>
            <w:r>
              <w:rPr>
                <w:sz w:val="17"/>
              </w:rPr>
              <w:t>SKOS concept</w:t>
            </w:r>
          </w:p>
        </w:tc>
        <w:tc>
          <w:tcPr>
            <w:tcW w:type="dxa" w:w="2880"/>
            <w:vAlign w:val="top"/>
            <w:tcMar>
              <w:top w:w="80" w:type="dxa"/>
              <w:start w:w="90" w:type="dxa"/>
              <w:bottom w:w="80" w:type="dxa"/>
              <w:end w:w="90" w:type="dxa"/>
            </w:tcMar>
          </w:tcPr>
          <w:p>
            <w:r>
              <w:rPr>
                <w:sz w:val="17"/>
              </w:rPr>
              <w:t>UpperCamelCase readable token</w:t>
            </w:r>
          </w:p>
        </w:tc>
        <w:tc>
          <w:tcPr>
            <w:tcW w:type="dxa" w:w="2376"/>
            <w:vAlign w:val="top"/>
            <w:tcMar>
              <w:top w:w="80" w:type="dxa"/>
              <w:start w:w="90" w:type="dxa"/>
              <w:bottom w:w="80" w:type="dxa"/>
              <w:end w:w="90" w:type="dxa"/>
            </w:tcMar>
          </w:tcPr>
          <w:p>
            <w:r>
              <w:rPr>
                <w:sz w:val="17"/>
              </w:rPr>
              <w:t>Flood, Closed, CommercialProperty</w:t>
            </w:r>
          </w:p>
        </w:tc>
        <w:tc>
          <w:tcPr>
            <w:tcW w:type="dxa" w:w="3384"/>
            <w:vAlign w:val="top"/>
            <w:tcMar>
              <w:top w:w="80" w:type="dxa"/>
              <w:start w:w="90" w:type="dxa"/>
              <w:bottom w:w="80" w:type="dxa"/>
              <w:end w:w="90" w:type="dxa"/>
            </w:tcMar>
          </w:tcPr>
          <w:p>
            <w:r>
              <w:rPr>
                <w:sz w:val="17"/>
              </w:rPr>
              <w:t>Business code goes in skos:notation</w:t>
            </w:r>
          </w:p>
        </w:tc>
      </w:tr>
      <w:tr>
        <w:tc>
          <w:tcPr>
            <w:tcW w:type="dxa" w:w="1800"/>
            <w:vAlign w:val="top"/>
            <w:tcMar>
              <w:top w:w="80" w:type="dxa"/>
              <w:start w:w="90" w:type="dxa"/>
              <w:bottom w:w="80" w:type="dxa"/>
              <w:end w:w="90" w:type="dxa"/>
            </w:tcMar>
          </w:tcPr>
          <w:p>
            <w:r>
              <w:rPr>
                <w:sz w:val="17"/>
              </w:rPr>
              <w:t>SHACL node shape</w:t>
            </w:r>
          </w:p>
        </w:tc>
        <w:tc>
          <w:tcPr>
            <w:tcW w:type="dxa" w:w="2880"/>
            <w:vAlign w:val="top"/>
            <w:tcMar>
              <w:top w:w="80" w:type="dxa"/>
              <w:start w:w="90" w:type="dxa"/>
              <w:bottom w:w="80" w:type="dxa"/>
              <w:end w:w="90" w:type="dxa"/>
            </w:tcMar>
          </w:tcPr>
          <w:p>
            <w:r>
              <w:rPr>
                <w:sz w:val="17"/>
              </w:rPr>
              <w:t>TargetClass + Shape</w:t>
            </w:r>
          </w:p>
        </w:tc>
        <w:tc>
          <w:tcPr>
            <w:tcW w:type="dxa" w:w="2376"/>
            <w:vAlign w:val="top"/>
            <w:tcMar>
              <w:top w:w="80" w:type="dxa"/>
              <w:start w:w="90" w:type="dxa"/>
              <w:bottom w:w="80" w:type="dxa"/>
              <w:end w:w="90" w:type="dxa"/>
            </w:tcMar>
          </w:tcPr>
          <w:p>
            <w:r>
              <w:rPr>
                <w:sz w:val="17"/>
              </w:rPr>
              <w:t>PolicyShape</w:t>
            </w:r>
          </w:p>
        </w:tc>
        <w:tc>
          <w:tcPr>
            <w:tcW w:type="dxa" w:w="3384"/>
            <w:vAlign w:val="top"/>
            <w:tcMar>
              <w:top w:w="80" w:type="dxa"/>
              <w:start w:w="90" w:type="dxa"/>
              <w:bottom w:w="80" w:type="dxa"/>
              <w:end w:w="90" w:type="dxa"/>
            </w:tcMar>
          </w:tcPr>
          <w:p>
            <w:r>
              <w:rPr>
                <w:sz w:val="17"/>
              </w:rPr>
              <w:t>Use namespace under /shapes/</w:t>
            </w:r>
          </w:p>
        </w:tc>
      </w:tr>
      <w:tr>
        <w:tc>
          <w:tcPr>
            <w:tcW w:type="dxa" w:w="1800"/>
            <w:vAlign w:val="top"/>
            <w:tcMar>
              <w:top w:w="80" w:type="dxa"/>
              <w:start w:w="90" w:type="dxa"/>
              <w:bottom w:w="80" w:type="dxa"/>
              <w:end w:w="90" w:type="dxa"/>
            </w:tcMar>
          </w:tcPr>
          <w:p>
            <w:r>
              <w:rPr>
                <w:sz w:val="17"/>
              </w:rPr>
              <w:t>Competency question</w:t>
            </w:r>
          </w:p>
        </w:tc>
        <w:tc>
          <w:tcPr>
            <w:tcW w:type="dxa" w:w="2880"/>
            <w:vAlign w:val="top"/>
            <w:tcMar>
              <w:top w:w="80" w:type="dxa"/>
              <w:start w:w="90" w:type="dxa"/>
              <w:bottom w:w="80" w:type="dxa"/>
              <w:end w:w="90" w:type="dxa"/>
            </w:tcMar>
          </w:tcPr>
          <w:p>
            <w:r>
              <w:rPr>
                <w:sz w:val="17"/>
              </w:rPr>
              <w:t>Stable functional ID</w:t>
            </w:r>
          </w:p>
        </w:tc>
        <w:tc>
          <w:tcPr>
            <w:tcW w:type="dxa" w:w="2376"/>
            <w:vAlign w:val="top"/>
            <w:tcMar>
              <w:top w:w="80" w:type="dxa"/>
              <w:start w:w="90" w:type="dxa"/>
              <w:bottom w:w="80" w:type="dxa"/>
              <w:end w:w="90" w:type="dxa"/>
            </w:tcMar>
          </w:tcPr>
          <w:p>
            <w:r>
              <w:rPr>
                <w:sz w:val="17"/>
              </w:rPr>
              <w:t>CQ-POL-001</w:t>
            </w:r>
          </w:p>
        </w:tc>
        <w:tc>
          <w:tcPr>
            <w:tcW w:type="dxa" w:w="3384"/>
            <w:vAlign w:val="top"/>
            <w:tcMar>
              <w:top w:w="80" w:type="dxa"/>
              <w:start w:w="90" w:type="dxa"/>
              <w:bottom w:w="80" w:type="dxa"/>
              <w:end w:w="90" w:type="dxa"/>
            </w:tcMar>
          </w:tcPr>
          <w:p>
            <w:r>
              <w:rPr>
                <w:sz w:val="17"/>
              </w:rPr>
              <w:t>Never renumber after publication</w:t>
            </w:r>
          </w:p>
        </w:tc>
      </w:tr>
      <w:tr>
        <w:tc>
          <w:tcPr>
            <w:tcW w:type="dxa" w:w="1800"/>
            <w:vAlign w:val="top"/>
            <w:tcMar>
              <w:top w:w="80" w:type="dxa"/>
              <w:start w:w="90" w:type="dxa"/>
              <w:bottom w:w="80" w:type="dxa"/>
              <w:end w:w="90" w:type="dxa"/>
            </w:tcMar>
          </w:tcPr>
          <w:p>
            <w:r>
              <w:rPr>
                <w:sz w:val="17"/>
              </w:rPr>
              <w:t>File/module</w:t>
            </w:r>
          </w:p>
        </w:tc>
        <w:tc>
          <w:tcPr>
            <w:tcW w:type="dxa" w:w="2880"/>
            <w:vAlign w:val="top"/>
            <w:tcMar>
              <w:top w:w="80" w:type="dxa"/>
              <w:start w:w="90" w:type="dxa"/>
              <w:bottom w:w="80" w:type="dxa"/>
              <w:end w:w="90" w:type="dxa"/>
            </w:tcMar>
          </w:tcPr>
          <w:p>
            <w:r>
              <w:rPr>
                <w:sz w:val="17"/>
              </w:rPr>
              <w:t>lowercase kebab-case or simple lowercase</w:t>
            </w:r>
          </w:p>
        </w:tc>
        <w:tc>
          <w:tcPr>
            <w:tcW w:type="dxa" w:w="2376"/>
            <w:vAlign w:val="top"/>
            <w:tcMar>
              <w:top w:w="80" w:type="dxa"/>
              <w:start w:w="90" w:type="dxa"/>
              <w:bottom w:w="80" w:type="dxa"/>
              <w:end w:w="90" w:type="dxa"/>
            </w:tcMar>
          </w:tcPr>
          <w:p>
            <w:r>
              <w:rPr>
                <w:sz w:val="17"/>
              </w:rPr>
              <w:t>line-of-business.ttl, policy.ttl</w:t>
            </w:r>
          </w:p>
        </w:tc>
        <w:tc>
          <w:tcPr>
            <w:tcW w:type="dxa" w:w="3384"/>
            <w:vAlign w:val="top"/>
            <w:tcMar>
              <w:top w:w="80" w:type="dxa"/>
              <w:start w:w="90" w:type="dxa"/>
              <w:bottom w:w="80" w:type="dxa"/>
              <w:end w:w="90" w:type="dxa"/>
            </w:tcMar>
          </w:tcPr>
          <w:p>
            <w:r>
              <w:rPr>
                <w:sz w:val="17"/>
              </w:rPr>
              <w:t>Stable and singular</w:t>
            </w:r>
          </w:p>
        </w:tc>
      </w:tr>
    </w:tbl>
    <w:p>
      <w:pPr>
        <w:spacing w:after="20"/>
      </w:pPr>
    </w:p>
    <w:p>
      <w:pPr>
        <w:spacing w:after="80"/>
      </w:pPr>
      <w:r>
        <w:rPr>
          <w:b/>
          <w:color w:val="1F4E78"/>
        </w:rPr>
        <w:t xml:space="preserve">NAME-1  MUST - Use business language: </w:t>
      </w:r>
      <w:r>
        <w:t>Names should be understandable to domain SMEs and not expose transient technical implementation names.</w:t>
      </w:r>
    </w:p>
    <w:p>
      <w:pPr>
        <w:spacing w:after="80"/>
      </w:pPr>
      <w:r>
        <w:rPr>
          <w:b/>
          <w:color w:val="1F4E78"/>
        </w:rPr>
        <w:t xml:space="preserve">NAME-2  MUST - Class names represent categories: </w:t>
      </w:r>
      <w:r>
        <w:t>Avoid class names ending in Table, DTO, Message, Record, JSON, Payload or Schema unless that technical artifact is genuinely what is being modeled.</w:t>
      </w:r>
    </w:p>
    <w:p>
      <w:pPr>
        <w:spacing w:after="80"/>
      </w:pPr>
      <w:r>
        <w:rPr>
          <w:b/>
          <w:color w:val="1F4E78"/>
        </w:rPr>
        <w:t xml:space="preserve">NAME-3  MUST - Subclass means is-a: </w:t>
      </w:r>
      <w:r>
        <w:t>If "every A is a B" is not true in the domain, do not use rdfs:subClassOf. Composition and association must use properties.</w:t>
      </w:r>
    </w:p>
    <w:p>
      <w:pPr>
        <w:spacing w:after="80"/>
      </w:pPr>
      <w:r>
        <w:rPr>
          <w:b/>
          <w:color w:val="1F4E78"/>
        </w:rPr>
        <w:t xml:space="preserve">NAME-4  MUST - No version suffixes: </w:t>
      </w:r>
      <w:r>
        <w:t>Do not mint PolicyV2, Claim_2026, hasCoverage2 or similar term versions. Evolve the ontology while preserving stable term identity.</w:t>
      </w:r>
    </w:p>
    <w:p>
      <w:pPr>
        <w:spacing w:after="80"/>
      </w:pPr>
      <w:r>
        <w:rPr>
          <w:b/>
          <w:color w:val="1F4E78"/>
        </w:rPr>
        <w:t xml:space="preserve">NAME-5  SHOULD - Avoid abbreviations in local names: </w:t>
      </w:r>
      <w:r>
        <w:t>Use BusinessOutcome rather than BO unless the abbreviation is an established business term.</w:t>
      </w:r>
    </w:p>
    <w:p>
      <w:pPr>
        <w:spacing w:after="80"/>
      </w:pPr>
      <w:r>
        <w:rPr>
          <w:b/>
          <w:color w:val="1F4E78"/>
        </w:rPr>
        <w:t xml:space="preserve">NAME-6  MUST - Labels are not identifiers: </w:t>
      </w:r>
      <w:r>
        <w:t>Use rdfs:label/skos:prefLabel for display text; do not change IRIs because a label changes.</w:t>
      </w:r>
    </w:p>
    <w:p>
      <w:pPr>
        <w:pStyle w:val="Heading1"/>
      </w:pPr>
      <w:r>
        <w:t>9. OWL and RDFS Modeling Rules</w:t>
      </w:r>
    </w:p>
    <w:p>
      <w:r>
        <w:t>OWL is used to state semantic meaning and logically valid inferences. It is not used as a closed-world validator. Enterprise modules should remain inside an agreed OWL 2 profile (normally OWL 2 DL unless a specific profile such as EL is approved for performance reasons).</w:t>
      </w:r>
    </w:p>
    <w:p>
      <w:pPr>
        <w:spacing w:after="80"/>
      </w:pPr>
      <w:r>
        <w:rPr>
          <w:b/>
          <w:color w:val="1F4E78"/>
        </w:rPr>
        <w:t xml:space="preserve">OWL-1  MUST - Model necessary semantics, not data-entry requirements: </w:t>
      </w:r>
      <w:r>
        <w:t>Use SHACL for required fields, min/max count, regex, allowed values and operational completeness unless the OWL axiom is genuinely part of the domain semantics.</w:t>
      </w:r>
    </w:p>
    <w:p>
      <w:pPr>
        <w:spacing w:after="80"/>
      </w:pPr>
      <w:r>
        <w:rPr>
          <w:b/>
          <w:color w:val="1F4E78"/>
        </w:rPr>
        <w:t xml:space="preserve">OWL-2  MUST - Treat rdfs:domain and rdfs:range as inference: </w:t>
      </w:r>
      <w:r>
        <w:t>They infer types; they do not reject wrong data. If validation is required, duplicate the operational constraint in SHACL, not by misinterpreting RDFS.</w:t>
      </w:r>
    </w:p>
    <w:p>
      <w:pPr>
        <w:spacing w:after="80"/>
      </w:pPr>
      <w:r>
        <w:rPr>
          <w:b/>
          <w:color w:val="1F4E78"/>
        </w:rPr>
        <w:t xml:space="preserve">OWL-3  MUST - Use equivalence only for true equivalence: </w:t>
      </w:r>
      <w:r>
        <w:t>owl:equivalentClass and owl:equivalentProperty are strong logical claims. Prefer rdfs:subClassOf/subPropertyOf or mapping annotations where equivalence is uncertain.</w:t>
      </w:r>
    </w:p>
    <w:p>
      <w:pPr>
        <w:spacing w:after="80"/>
      </w:pPr>
      <w:r>
        <w:rPr>
          <w:b/>
          <w:color w:val="1F4E78"/>
        </w:rPr>
        <w:t xml:space="preserve">OWL-4  SHOULD - Declare disjointness where business categories cannot overlap: </w:t>
      </w:r>
      <w:r>
        <w:t>Sibling classes are not disjoint automatically. State owl:disjointWith or AllDisjointClasses only when the business meaning requires it.</w:t>
      </w:r>
    </w:p>
    <w:p>
      <w:pPr>
        <w:spacing w:after="80"/>
      </w:pPr>
      <w:r>
        <w:rPr>
          <w:b/>
          <w:color w:val="1F4E78"/>
        </w:rPr>
        <w:t xml:space="preserve">OWL-5  MUST - Use property characteristics deliberately: </w:t>
      </w:r>
      <w:r>
        <w:t>Functional, inverse-functional, transitive, symmetric, asymmetric, reflexive and irreflexive characteristics can create strong inferences. Each must have a documented semantic reason and tests.</w:t>
      </w:r>
    </w:p>
    <w:p>
      <w:pPr>
        <w:spacing w:after="80"/>
      </w:pPr>
      <w:r>
        <w:rPr>
          <w:b/>
          <w:color w:val="1F4E78"/>
        </w:rPr>
        <w:t xml:space="preserve">OWL-6  MUST - Respect simple-property restrictions: </w:t>
      </w:r>
      <w:r>
        <w:t>Do not place cardinality restrictions on non-simple properties such as certain transitive/property-chain-involved properties in ways that violate OWL 2 DL.</w:t>
      </w:r>
    </w:p>
    <w:p>
      <w:pPr>
        <w:spacing w:after="80"/>
      </w:pPr>
      <w:r>
        <w:rPr>
          <w:b/>
          <w:color w:val="1F4E78"/>
        </w:rPr>
        <w:t xml:space="preserve">OWL-7  SHOULD - Use owl:hasKey only for real identity keys: </w:t>
      </w:r>
      <w:r>
        <w:t>A key is a semantic identity assertion, not merely a database unique constraint.</w:t>
      </w:r>
    </w:p>
    <w:p>
      <w:pPr>
        <w:spacing w:after="80"/>
      </w:pPr>
      <w:r>
        <w:rPr>
          <w:b/>
          <w:color w:val="1F4E78"/>
        </w:rPr>
        <w:t xml:space="preserve">OWL-8  MUST - Avoid accidental punning/class-as-value patterns: </w:t>
      </w:r>
      <w:r>
        <w:t>Controlled values should normally be SKOS individuals, not classes that are also treated as values.</w:t>
      </w:r>
    </w:p>
    <w:p>
      <w:pPr>
        <w:spacing w:after="80"/>
      </w:pPr>
      <w:r>
        <w:rPr>
          <w:b/>
          <w:color w:val="1F4E78"/>
        </w:rPr>
        <w:t xml:space="preserve">OWL-9  SHOULD - Prefer explicit inverse property declarations only when useful: </w:t>
      </w:r>
      <w:r>
        <w:t>Do not create inverse properties solely for symmetry in documentation. Add them when they improve querying, inference or business expressiveness.</w:t>
      </w:r>
    </w:p>
    <w:p>
      <w:pPr>
        <w:spacing w:after="80"/>
      </w:pPr>
      <w:r>
        <w:rPr>
          <w:b/>
          <w:color w:val="1F4E78"/>
        </w:rPr>
        <w:t xml:space="preserve">OWL-10  MUST - Reasoner consistency is a release gate: </w:t>
      </w:r>
      <w:r>
        <w:t>Every ontology import closure must be logically consistent and all intended classes satisfiable before release.</w:t>
      </w:r>
    </w:p>
    <w:p>
      <w:r>
        <w:rPr>
          <w:b/>
        </w:rPr>
        <w:t>Example - semantic meaning in OWL vs operational requirement in SHACL</w:t>
      </w:r>
    </w:p>
    <w:tbl>
      <w:tblPr>
        <w:tblW w:type="auto" w:w="0"/>
        <w:jc w:val="center"/>
        <w:tblLook w:firstColumn="1" w:firstRow="1" w:lastColumn="0" w:lastRow="0" w:noHBand="0" w:noVBand="1" w:val="04A0"/>
      </w:tblPr>
      <w:tblGrid>
        <w:gridCol w:w="10080"/>
      </w:tblGrid>
      <w:tr>
        <w:tc>
          <w:tcPr>
            <w:tcW w:type="dxa" w:w="10080"/>
            <w:shd w:fill="F3F4F6"/>
            <w:tcMar>
              <w:top w:w="90" w:type="dxa"/>
              <w:start w:w="130" w:type="dxa"/>
              <w:bottom w:w="90" w:type="dxa"/>
              <w:end w:w="130" w:type="dxa"/>
            </w:tcMar>
          </w:tcPr>
          <w:p>
            <w:pPr>
              <w:spacing w:after="0"/>
            </w:pPr>
            <w:r>
              <w:rPr>
                <w:rFonts w:ascii="Courier New" w:hAnsi="Courier New"/>
                <w:sz w:val="17"/>
              </w:rPr>
              <w:t># OWL: meaning</w:t>
            </w:r>
            <w:r>
              <w:br/>
            </w:r>
            <w:r>
              <w:rPr>
                <w:rFonts w:ascii="Courier New" w:hAnsi="Courier New"/>
                <w:sz w:val="17"/>
              </w:rPr>
              <w:t>policy:Policy a owl:Class .</w:t>
            </w:r>
            <w:r>
              <w:br/>
            </w:r>
            <w:r>
              <w:rPr>
                <w:rFonts w:ascii="Courier New" w:hAnsi="Courier New"/>
                <w:sz w:val="17"/>
              </w:rPr>
              <w:t>policy:hasPolicyholder a owl:ObjectProperty ;</w:t>
            </w:r>
            <w:r>
              <w:br/>
            </w:r>
            <w:r>
              <w:rPr>
                <w:rFonts w:ascii="Courier New" w:hAnsi="Courier New"/>
                <w:sz w:val="17"/>
              </w:rPr>
              <w:t xml:space="preserve">    rdfs:domain policy:Policy ;</w:t>
            </w:r>
            <w:r>
              <w:br/>
            </w:r>
            <w:r>
              <w:rPr>
                <w:rFonts w:ascii="Courier New" w:hAnsi="Courier New"/>
                <w:sz w:val="17"/>
              </w:rPr>
              <w:t xml:space="preserve">    rdfs:range party:Party .</w:t>
            </w:r>
            <w:r>
              <w:br/>
            </w:r>
            <w:r>
              <w:rPr>
                <w:rFonts w:ascii="Courier New" w:hAnsi="Courier New"/>
                <w:sz w:val="17"/>
              </w:rPr>
            </w:r>
            <w:r>
              <w:br/>
            </w:r>
            <w:r>
              <w:rPr>
                <w:rFonts w:ascii="Courier New" w:hAnsi="Courier New"/>
                <w:sz w:val="17"/>
              </w:rPr>
              <w:t># SHACL: data contract</w:t>
            </w:r>
            <w:r>
              <w:br/>
            </w:r>
            <w:r>
              <w:rPr>
                <w:rFonts w:ascii="Courier New" w:hAnsi="Courier New"/>
                <w:sz w:val="17"/>
              </w:rPr>
              <w:t>shape:PolicyShape a sh:NodeShape ;</w:t>
            </w:r>
            <w:r>
              <w:br/>
            </w:r>
            <w:r>
              <w:rPr>
                <w:rFonts w:ascii="Courier New" w:hAnsi="Courier New"/>
                <w:sz w:val="17"/>
              </w:rPr>
              <w:t xml:space="preserve">    sh:targetClass policy:Policy ;</w:t>
            </w:r>
            <w:r>
              <w:br/>
            </w:r>
            <w:r>
              <w:rPr>
                <w:rFonts w:ascii="Courier New" w:hAnsi="Courier New"/>
                <w:sz w:val="17"/>
              </w:rPr>
              <w:t xml:space="preserve">    sh:property [</w:t>
            </w:r>
            <w:r>
              <w:br/>
            </w:r>
            <w:r>
              <w:rPr>
                <w:rFonts w:ascii="Courier New" w:hAnsi="Courier New"/>
                <w:sz w:val="17"/>
              </w:rPr>
              <w:t xml:space="preserve">        sh:path policy:policyNumber ;</w:t>
            </w:r>
            <w:r>
              <w:br/>
            </w:r>
            <w:r>
              <w:rPr>
                <w:rFonts w:ascii="Courier New" w:hAnsi="Courier New"/>
                <w:sz w:val="17"/>
              </w:rPr>
              <w:t xml:space="preserve">        sh:minCount 1 ;</w:t>
            </w:r>
            <w:r>
              <w:br/>
            </w:r>
            <w:r>
              <w:rPr>
                <w:rFonts w:ascii="Courier New" w:hAnsi="Courier New"/>
                <w:sz w:val="17"/>
              </w:rPr>
              <w:t xml:space="preserve">        sh:maxCount 1 ;</w:t>
            </w:r>
            <w:r>
              <w:br/>
            </w:r>
            <w:r>
              <w:rPr>
                <w:rFonts w:ascii="Courier New" w:hAnsi="Courier New"/>
                <w:sz w:val="17"/>
              </w:rPr>
              <w:t xml:space="preserve">        sh:datatype xsd:string</w:t>
            </w:r>
            <w:r>
              <w:br/>
            </w:r>
            <w:r>
              <w:rPr>
                <w:rFonts w:ascii="Courier New" w:hAnsi="Courier New"/>
                <w:sz w:val="17"/>
              </w:rPr>
              <w:t xml:space="preserve">    ] .</w:t>
            </w:r>
          </w:p>
        </w:tc>
      </w:tr>
    </w:tbl>
    <w:p>
      <w:pPr>
        <w:spacing w:after="20"/>
      </w:pPr>
    </w:p>
    <w:p>
      <w:pPr>
        <w:pStyle w:val="Heading1"/>
      </w:pPr>
      <w:r>
        <w:t>10. SHACL Validation Standard</w:t>
      </w:r>
    </w:p>
    <w:p>
      <w:r>
        <w:t>SHACL is the enterprise mechanism for validating RDF data contracts. SHACL Core should be preferred for portability. SPARQL-based constraints may be used when a requirement cannot be expressed clearly in Core and must be documented and performance-tested.</w:t>
      </w:r>
    </w:p>
    <w:p>
      <w:pPr>
        <w:spacing w:after="80"/>
      </w:pPr>
      <w:r>
        <w:rPr>
          <w:b/>
          <w:color w:val="1F4E78"/>
        </w:rPr>
        <w:t xml:space="preserve">SH-1  MUST - Separate shapes from ontology modules: </w:t>
      </w:r>
      <w:r>
        <w:t>Shapes live under shapes/ and use their own shape namespace.</w:t>
      </w:r>
    </w:p>
    <w:p>
      <w:pPr>
        <w:spacing w:after="80"/>
      </w:pPr>
      <w:r>
        <w:rPr>
          <w:b/>
          <w:color w:val="1F4E78"/>
        </w:rPr>
        <w:t xml:space="preserve">SH-2  MUST - Every production shape declares a target: </w:t>
      </w:r>
      <w:r>
        <w:t>Use sh:targetClass, targetSubjectsOf, targetObjectsOf or another approved target mechanism. Avoid orphan constraints whose execution scope is unclear.</w:t>
      </w:r>
    </w:p>
    <w:p>
      <w:pPr>
        <w:spacing w:after="80"/>
      </w:pPr>
      <w:r>
        <w:rPr>
          <w:b/>
          <w:color w:val="1F4E78"/>
        </w:rPr>
        <w:t xml:space="preserve">SH-3  MUST - Provide actionable messages: </w:t>
      </w:r>
      <w:r>
        <w:t>Each business-critical constraint should include an understandable sh:message and appropriate sh:severity.</w:t>
      </w:r>
    </w:p>
    <w:p>
      <w:pPr>
        <w:spacing w:after="80"/>
      </w:pPr>
      <w:r>
        <w:rPr>
          <w:b/>
          <w:color w:val="1F4E78"/>
        </w:rPr>
        <w:t xml:space="preserve">SH-4  MUST - Trace shapes to requirements: </w:t>
      </w:r>
      <w:r>
        <w:t>A shape or property constraint must link to at least one competency question, data contract requirement or governance rule.</w:t>
      </w:r>
    </w:p>
    <w:p>
      <w:pPr>
        <w:spacing w:after="80"/>
      </w:pPr>
      <w:r>
        <w:rPr>
          <w:b/>
          <w:color w:val="1F4E78"/>
        </w:rPr>
        <w:t xml:space="preserve">SH-5  MUST - Validate positive and negative fixtures: </w:t>
      </w:r>
      <w:r>
        <w:t>CI must include examples that should conform and examples that should fail for critical rules.</w:t>
      </w:r>
    </w:p>
    <w:p>
      <w:pPr>
        <w:spacing w:after="80"/>
      </w:pPr>
      <w:r>
        <w:rPr>
          <w:b/>
          <w:color w:val="1F4E78"/>
        </w:rPr>
        <w:t xml:space="preserve">SH-6  SHOULD - Prefer Core over SHACL-SPARQL: </w:t>
      </w:r>
      <w:r>
        <w:t>Use Core constraints such as class, datatype, nodeKind, minCount, maxCount, pattern, in, hasValue, closed and qualified value shapes before custom SPARQL.</w:t>
      </w:r>
    </w:p>
    <w:p>
      <w:pPr>
        <w:spacing w:after="80"/>
      </w:pPr>
      <w:r>
        <w:rPr>
          <w:b/>
          <w:color w:val="1F4E78"/>
        </w:rPr>
        <w:t xml:space="preserve">SH-7  MUST - Do not duplicate semantics blindly: </w:t>
      </w:r>
      <w:r>
        <w:t>A SHACL constraint may mirror an OWL statement when needed for operational validation, but the reason for both must be clear: OWL for meaning, SHACL for conformance.</w:t>
      </w:r>
    </w:p>
    <w:p>
      <w:pPr>
        <w:spacing w:after="80"/>
      </w:pPr>
      <w:r>
        <w:rPr>
          <w:b/>
          <w:color w:val="1F4E78"/>
        </w:rPr>
        <w:t xml:space="preserve">SH-8  MUST - Shape graph itself must be valid: </w:t>
      </w:r>
      <w:r>
        <w:t>Run SHACL meta-validation or equivalent static linting on the shapes graph before validating business data.</w:t>
      </w:r>
    </w:p>
    <w:p>
      <w:pPr>
        <w:spacing w:after="80"/>
      </w:pPr>
      <w:r>
        <w:rPr>
          <w:b/>
          <w:color w:val="1F4E78"/>
        </w:rPr>
        <w:t xml:space="preserve">SH-9  SHOULD - Group and order user-facing constraints: </w:t>
      </w:r>
      <w:r>
        <w:t>Use sh:group and sh:order when shapes drive forms, API documentation or data-quality reports.</w:t>
      </w:r>
    </w:p>
    <w:p>
      <w:pPr>
        <w:spacing w:after="80"/>
      </w:pPr>
      <w:r>
        <w:rPr>
          <w:b/>
          <w:color w:val="1F4E78"/>
        </w:rPr>
        <w:t xml:space="preserve">SH-10  MUST - Performance-test expensive constraints: </w:t>
      </w:r>
      <w:r>
        <w:t>SPARQL constraints, recursive shapes and large sh:in lists require performance testing against representative graph sizes.</w:t>
      </w:r>
    </w:p>
    <w:p>
      <w:pPr>
        <w:pStyle w:val="Heading1"/>
      </w:pPr>
      <w:r>
        <w:t>11. Controlled Vocabulary and SKOS Standard</w:t>
      </w:r>
    </w:p>
    <w:p>
      <w:r>
        <w:t>Controlled vocabularies represent governed values that classify or label domain instances. They have their own lifecycle and ownership and must not be hard-wired into the ontology class hierarchy.</w:t>
      </w:r>
    </w:p>
    <w:p>
      <w:pPr>
        <w:spacing w:after="80"/>
      </w:pPr>
      <w:r>
        <w:rPr>
          <w:b/>
          <w:color w:val="1F4E78"/>
        </w:rPr>
        <w:t xml:space="preserve">CV-1  MUST - One ConceptScheme per governed scheme file: </w:t>
      </w:r>
      <w:r>
        <w:t>Each business code list is represented as a skos:ConceptScheme in its own vocabulary namespace.</w:t>
      </w:r>
    </w:p>
    <w:p>
      <w:pPr>
        <w:spacing w:after="80"/>
      </w:pPr>
      <w:r>
        <w:rPr>
          <w:b/>
          <w:color w:val="1F4E78"/>
        </w:rPr>
        <w:t xml:space="preserve">CV-2  MUST - Concepts are individuals, not OWL subclasses: </w:t>
      </w:r>
      <w:r>
        <w:t>Use skos:Concept for statuses, perils, classifications, product codes and similar controlled values.</w:t>
      </w:r>
    </w:p>
    <w:p>
      <w:pPr>
        <w:spacing w:after="80"/>
      </w:pPr>
      <w:r>
        <w:rPr>
          <w:b/>
          <w:color w:val="1F4E78"/>
        </w:rPr>
        <w:t xml:space="preserve">CV-3  MUST - One preferred label per language: </w:t>
      </w:r>
      <w:r>
        <w:t>Each concept has one skos:prefLabel per language and may have skos:altLabel / hiddenLabel as appropriate.</w:t>
      </w:r>
    </w:p>
    <w:p>
      <w:pPr>
        <w:spacing w:after="80"/>
      </w:pPr>
      <w:r>
        <w:rPr>
          <w:b/>
          <w:color w:val="1F4E78"/>
        </w:rPr>
        <w:t xml:space="preserve">CV-4  MUST - Business code in skos:notation: </w:t>
      </w:r>
      <w:r>
        <w:t>The local IRI name is a readable stable token. The business code belongs in skos:notation and may change governance independently.</w:t>
      </w:r>
    </w:p>
    <w:p>
      <w:pPr>
        <w:spacing w:after="80"/>
      </w:pPr>
      <w:r>
        <w:rPr>
          <w:b/>
          <w:color w:val="1F4E78"/>
        </w:rPr>
        <w:t xml:space="preserve">CV-5  MUST - Hierarchy uses broader/narrower: </w:t>
      </w:r>
      <w:r>
        <w:t>Use skos:broader/skos:narrower for hierarchy and skos:related for non-hierarchical association.</w:t>
      </w:r>
    </w:p>
    <w:p>
      <w:pPr>
        <w:spacing w:after="80"/>
      </w:pPr>
      <w:r>
        <w:rPr>
          <w:b/>
          <w:color w:val="1F4E78"/>
        </w:rPr>
        <w:t xml:space="preserve">CV-6  MUST - Do not edit a scheme you do not own: </w:t>
      </w:r>
      <w:r>
        <w:t>Regional or LOB refinements must be created in a new scheme and linked with SKOS mapping properties.</w:t>
      </w:r>
    </w:p>
    <w:p>
      <w:pPr>
        <w:spacing w:after="80"/>
      </w:pPr>
      <w:r>
        <w:rPr>
          <w:b/>
          <w:color w:val="1F4E78"/>
        </w:rPr>
        <w:t xml:space="preserve">CV-7  MUST - Deprecate concepts rather than delete: </w:t>
      </w:r>
      <w:r>
        <w:t>Retired concepts remain resolvable, with deprecation/change notes and replacements where applicable.</w:t>
      </w:r>
    </w:p>
    <w:p>
      <w:pPr>
        <w:spacing w:after="80"/>
      </w:pPr>
      <w:r>
        <w:rPr>
          <w:b/>
          <w:color w:val="1F4E78"/>
        </w:rPr>
        <w:t xml:space="preserve">CV-8  SHOULD - Use closeMatch by default when equivalence is uncertain: </w:t>
      </w:r>
      <w:r>
        <w:t>skos:exactMatch is a strong claim. Use it only when concepts are genuinely interchangeable.</w:t>
      </w:r>
    </w:p>
    <w:p>
      <w:pPr>
        <w:spacing w:after="80"/>
      </w:pPr>
      <w:r>
        <w:rPr>
          <w:b/>
          <w:color w:val="1F4E78"/>
        </w:rPr>
        <w:t xml:space="preserve">CV-9  MUST - Constrain scheme membership in SHACL when needed: </w:t>
      </w:r>
      <w:r>
        <w:t>If a property must accept concepts from one specific scheme, validate skos:inScheme using SHACL rather than trying to encode a closed value set as OWL class semantics.</w:t>
      </w:r>
    </w:p>
    <w:p>
      <w:pPr>
        <w:pStyle w:val="Heading1"/>
      </w:pPr>
      <w:r>
        <w:t>12. External Ontology Reuse and Mapping</w:t>
      </w:r>
    </w:p>
    <w:p>
      <w:r>
        <w:t>Reuse reduces duplicate meaning and improves interoperability, but external imports also create governance and runtime dependencies. Adoption must therefore be deliberate.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1728"/>
            <w:shd w:fill="1F4E78"/>
            <w:vAlign w:val="center"/>
            <w:tcMar>
              <w:top w:w="80" w:type="dxa"/>
              <w:start w:w="90" w:type="dxa"/>
              <w:bottom w:w="80" w:type="dxa"/>
              <w:end w:w="90" w:type="dxa"/>
            </w:tcMar>
          </w:tcPr>
          <w:p>
            <w:r>
              <w:rPr>
                <w:b/>
                <w:color w:val="FFFFFF"/>
                <w:sz w:val="18"/>
              </w:rPr>
              <w:t>Decision</w:t>
            </w:r>
          </w:p>
        </w:tc>
        <w:tc>
          <w:tcPr>
            <w:tcW w:type="dxa" w:w="4896"/>
            <w:shd w:fill="1F4E78"/>
            <w:vAlign w:val="center"/>
            <w:tcMar>
              <w:top w:w="80" w:type="dxa"/>
              <w:start w:w="90" w:type="dxa"/>
              <w:bottom w:w="80" w:type="dxa"/>
              <w:end w:w="90" w:type="dxa"/>
            </w:tcMar>
          </w:tcPr>
          <w:p>
            <w:r>
              <w:rPr>
                <w:b/>
                <w:color w:val="FFFFFF"/>
                <w:sz w:val="18"/>
              </w:rPr>
              <w:t>Use when</w:t>
            </w:r>
          </w:p>
        </w:tc>
        <w:tc>
          <w:tcPr>
            <w:tcW w:type="dxa" w:w="3600"/>
            <w:shd w:fill="1F4E78"/>
            <w:vAlign w:val="center"/>
            <w:tcMar>
              <w:top w:w="80" w:type="dxa"/>
              <w:start w:w="90" w:type="dxa"/>
              <w:bottom w:w="80" w:type="dxa"/>
              <w:end w:w="90" w:type="dxa"/>
            </w:tcMar>
          </w:tcPr>
          <w:p>
            <w:r>
              <w:rPr>
                <w:b/>
                <w:color w:val="FFFFFF"/>
                <w:sz w:val="18"/>
              </w:rPr>
              <w:t>Preferred technique</w:t>
            </w:r>
          </w:p>
        </w:tc>
      </w:tr>
      <w:tr>
        <w:tc>
          <w:tcPr>
            <w:tcW w:type="dxa" w:w="1728"/>
            <w:vAlign w:val="top"/>
            <w:tcMar>
              <w:top w:w="80" w:type="dxa"/>
              <w:start w:w="90" w:type="dxa"/>
              <w:bottom w:w="80" w:type="dxa"/>
              <w:end w:w="90" w:type="dxa"/>
            </w:tcMar>
          </w:tcPr>
          <w:p>
            <w:r>
              <w:rPr>
                <w:sz w:val="17"/>
              </w:rPr>
              <w:t>Direct reuse</w:t>
            </w:r>
          </w:p>
        </w:tc>
        <w:tc>
          <w:tcPr>
            <w:tcW w:type="dxa" w:w="4896"/>
            <w:vAlign w:val="top"/>
            <w:tcMar>
              <w:top w:w="80" w:type="dxa"/>
              <w:start w:w="90" w:type="dxa"/>
              <w:bottom w:w="80" w:type="dxa"/>
              <w:end w:w="90" w:type="dxa"/>
            </w:tcMar>
          </w:tcPr>
          <w:p>
            <w:r>
              <w:rPr>
                <w:sz w:val="17"/>
              </w:rPr>
              <w:t>External term has the exact required meaning and stable governance</w:t>
            </w:r>
          </w:p>
        </w:tc>
        <w:tc>
          <w:tcPr>
            <w:tcW w:type="dxa" w:w="3600"/>
            <w:vAlign w:val="top"/>
            <w:tcMar>
              <w:top w:w="80" w:type="dxa"/>
              <w:start w:w="90" w:type="dxa"/>
              <w:bottom w:w="80" w:type="dxa"/>
              <w:end w:w="90" w:type="dxa"/>
            </w:tcMar>
          </w:tcPr>
          <w:p>
            <w:r>
              <w:rPr>
                <w:sz w:val="17"/>
              </w:rPr>
              <w:t>Reference/import canonical external IRI</w:t>
            </w:r>
          </w:p>
        </w:tc>
      </w:tr>
      <w:tr>
        <w:tc>
          <w:tcPr>
            <w:tcW w:type="dxa" w:w="1728"/>
            <w:vAlign w:val="top"/>
            <w:tcMar>
              <w:top w:w="80" w:type="dxa"/>
              <w:start w:w="90" w:type="dxa"/>
              <w:bottom w:w="80" w:type="dxa"/>
              <w:end w:w="90" w:type="dxa"/>
            </w:tcMar>
          </w:tcPr>
          <w:p>
            <w:r>
              <w:rPr>
                <w:sz w:val="17"/>
              </w:rPr>
              <w:t>Extension</w:t>
            </w:r>
          </w:p>
        </w:tc>
        <w:tc>
          <w:tcPr>
            <w:tcW w:type="dxa" w:w="4896"/>
            <w:vAlign w:val="top"/>
            <w:tcMar>
              <w:top w:w="80" w:type="dxa"/>
              <w:start w:w="90" w:type="dxa"/>
              <w:bottom w:w="80" w:type="dxa"/>
              <w:end w:w="90" w:type="dxa"/>
            </w:tcMar>
          </w:tcPr>
          <w:p>
            <w:r>
              <w:rPr>
                <w:sz w:val="17"/>
              </w:rPr>
              <w:t>External term is correct but enterprise needs a more specific concept</w:t>
            </w:r>
          </w:p>
        </w:tc>
        <w:tc>
          <w:tcPr>
            <w:tcW w:type="dxa" w:w="3600"/>
            <w:vAlign w:val="top"/>
            <w:tcMar>
              <w:top w:w="80" w:type="dxa"/>
              <w:start w:w="90" w:type="dxa"/>
              <w:bottom w:w="80" w:type="dxa"/>
              <w:end w:w="90" w:type="dxa"/>
            </w:tcMar>
          </w:tcPr>
          <w:p>
            <w:r>
              <w:rPr>
                <w:sz w:val="17"/>
              </w:rPr>
              <w:t>Create enterprise subclass/subproperty in owned namespace</w:t>
            </w:r>
          </w:p>
        </w:tc>
      </w:tr>
      <w:tr>
        <w:tc>
          <w:tcPr>
            <w:tcW w:type="dxa" w:w="1728"/>
            <w:vAlign w:val="top"/>
            <w:tcMar>
              <w:top w:w="80" w:type="dxa"/>
              <w:start w:w="90" w:type="dxa"/>
              <w:bottom w:w="80" w:type="dxa"/>
              <w:end w:w="90" w:type="dxa"/>
            </w:tcMar>
          </w:tcPr>
          <w:p>
            <w:r>
              <w:rPr>
                <w:sz w:val="17"/>
              </w:rPr>
              <w:t>Alignment</w:t>
            </w:r>
          </w:p>
        </w:tc>
        <w:tc>
          <w:tcPr>
            <w:tcW w:type="dxa" w:w="4896"/>
            <w:vAlign w:val="top"/>
            <w:tcMar>
              <w:top w:w="80" w:type="dxa"/>
              <w:start w:w="90" w:type="dxa"/>
              <w:bottom w:w="80" w:type="dxa"/>
              <w:end w:w="90" w:type="dxa"/>
            </w:tcMar>
          </w:tcPr>
          <w:p>
            <w:r>
              <w:rPr>
                <w:sz w:val="17"/>
              </w:rPr>
              <w:t>Models overlap but cannot safely share the same logical commitments</w:t>
            </w:r>
          </w:p>
        </w:tc>
        <w:tc>
          <w:tcPr>
            <w:tcW w:type="dxa" w:w="3600"/>
            <w:vAlign w:val="top"/>
            <w:tcMar>
              <w:top w:w="80" w:type="dxa"/>
              <w:start w:w="90" w:type="dxa"/>
              <w:bottom w:w="80" w:type="dxa"/>
              <w:end w:w="90" w:type="dxa"/>
            </w:tcMar>
          </w:tcPr>
          <w:p>
            <w:r>
              <w:rPr>
                <w:sz w:val="17"/>
              </w:rPr>
              <w:t>Separate mapping module with subClassOf, SKOS mappings or carefully justified equivalence</w:t>
            </w:r>
          </w:p>
        </w:tc>
      </w:tr>
      <w:tr>
        <w:tc>
          <w:tcPr>
            <w:tcW w:type="dxa" w:w="1728"/>
            <w:vAlign w:val="top"/>
            <w:tcMar>
              <w:top w:w="80" w:type="dxa"/>
              <w:start w:w="90" w:type="dxa"/>
              <w:bottom w:w="80" w:type="dxa"/>
              <w:end w:w="90" w:type="dxa"/>
            </w:tcMar>
          </w:tcPr>
          <w:p>
            <w:r>
              <w:rPr>
                <w:sz w:val="17"/>
              </w:rPr>
              <w:t>Vendoring/pinning</w:t>
            </w:r>
          </w:p>
        </w:tc>
        <w:tc>
          <w:tcPr>
            <w:tcW w:type="dxa" w:w="4896"/>
            <w:vAlign w:val="top"/>
            <w:tcMar>
              <w:top w:w="80" w:type="dxa"/>
              <w:start w:w="90" w:type="dxa"/>
              <w:bottom w:w="80" w:type="dxa"/>
              <w:end w:w="90" w:type="dxa"/>
            </w:tcMar>
          </w:tcPr>
          <w:p>
            <w:r>
              <w:rPr>
                <w:sz w:val="17"/>
              </w:rPr>
              <w:t>Availability or upstream change risk must be controlled</w:t>
            </w:r>
          </w:p>
        </w:tc>
        <w:tc>
          <w:tcPr>
            <w:tcW w:type="dxa" w:w="3600"/>
            <w:vAlign w:val="top"/>
            <w:tcMar>
              <w:top w:w="80" w:type="dxa"/>
              <w:start w:w="90" w:type="dxa"/>
              <w:bottom w:w="80" w:type="dxa"/>
              <w:end w:w="90" w:type="dxa"/>
            </w:tcMar>
          </w:tcPr>
          <w:p>
            <w:r>
              <w:rPr>
                <w:sz w:val="17"/>
              </w:rPr>
              <w:t>Pin an approved version locally/catalog-resolve while preserving canonical IRIs</w:t>
            </w:r>
          </w:p>
        </w:tc>
      </w:tr>
      <w:tr>
        <w:tc>
          <w:tcPr>
            <w:tcW w:type="dxa" w:w="1728"/>
            <w:vAlign w:val="top"/>
            <w:tcMar>
              <w:top w:w="80" w:type="dxa"/>
              <w:start w:w="90" w:type="dxa"/>
              <w:bottom w:w="80" w:type="dxa"/>
              <w:end w:w="90" w:type="dxa"/>
            </w:tcMar>
          </w:tcPr>
          <w:p>
            <w:r>
              <w:rPr>
                <w:sz w:val="17"/>
              </w:rPr>
              <w:t>Do not reuse</w:t>
            </w:r>
          </w:p>
        </w:tc>
        <w:tc>
          <w:tcPr>
            <w:tcW w:type="dxa" w:w="4896"/>
            <w:vAlign w:val="top"/>
            <w:tcMar>
              <w:top w:w="80" w:type="dxa"/>
              <w:start w:w="90" w:type="dxa"/>
              <w:bottom w:w="80" w:type="dxa"/>
              <w:end w:w="90" w:type="dxa"/>
            </w:tcMar>
          </w:tcPr>
          <w:p>
            <w:r>
              <w:rPr>
                <w:sz w:val="17"/>
              </w:rPr>
              <w:t>Meaning is a near-miss, license/governance is unsuitable or import causes unacceptable logical commitments</w:t>
            </w:r>
          </w:p>
        </w:tc>
        <w:tc>
          <w:tcPr>
            <w:tcW w:type="dxa" w:w="3600"/>
            <w:vAlign w:val="top"/>
            <w:tcMar>
              <w:top w:w="80" w:type="dxa"/>
              <w:start w:w="90" w:type="dxa"/>
              <w:bottom w:w="80" w:type="dxa"/>
              <w:end w:w="90" w:type="dxa"/>
            </w:tcMar>
          </w:tcPr>
          <w:p>
            <w:r>
              <w:rPr>
                <w:sz w:val="17"/>
              </w:rPr>
              <w:t>Mint enterprise concept and document rationale</w:t>
            </w:r>
          </w:p>
        </w:tc>
      </w:tr>
    </w:tbl>
    <w:p>
      <w:pPr>
        <w:spacing w:after="20"/>
      </w:pPr>
    </w:p>
    <w:p>
      <w:pPr>
        <w:spacing w:after="80"/>
      </w:pPr>
      <w:r>
        <w:rPr>
          <w:b/>
          <w:color w:val="1F4E78"/>
        </w:rPr>
        <w:t xml:space="preserve">REUSE-1  MUST - Canonical external IRIs: </w:t>
      </w:r>
      <w:r>
        <w:t>Never re-mint RDF, RDFS, OWL, SKOS, PROV-O, OWL-Time, Dublin Core or another adopted standard inside data.chubb.com.</w:t>
      </w:r>
    </w:p>
    <w:p>
      <w:pPr>
        <w:spacing w:after="80"/>
      </w:pPr>
      <w:r>
        <w:rPr>
          <w:b/>
          <w:color w:val="1F4E78"/>
        </w:rPr>
        <w:t xml:space="preserve">REUSE-2  MUST - Record provenance and version: </w:t>
      </w:r>
      <w:r>
        <w:t>Every external ontology dependency must have source, license, version/date and approved usage recorded.</w:t>
      </w:r>
    </w:p>
    <w:p>
      <w:pPr>
        <w:spacing w:after="80"/>
      </w:pPr>
      <w:r>
        <w:rPr>
          <w:b/>
          <w:color w:val="1F4E78"/>
        </w:rPr>
        <w:t xml:space="preserve">REUSE-3  MUST - No edits to vendored semantics under external IRI: </w:t>
      </w:r>
      <w:r>
        <w:t>Local copies may be pinned for reproducibility but canonical triples must not be silently altered.</w:t>
      </w:r>
    </w:p>
    <w:p>
      <w:pPr>
        <w:spacing w:after="80"/>
      </w:pPr>
      <w:r>
        <w:rPr>
          <w:b/>
          <w:color w:val="1F4E78"/>
        </w:rPr>
        <w:t xml:space="preserve">REUSE-4  MUST - Review imported logical commitments: </w:t>
      </w:r>
      <w:r>
        <w:t>Before import, inspect domains, ranges, disjointness, equivalences and OWL profile impact. A small vocabulary can have large reasoning consequences.</w:t>
      </w:r>
    </w:p>
    <w:p>
      <w:pPr>
        <w:spacing w:after="80"/>
      </w:pPr>
      <w:r>
        <w:rPr>
          <w:b/>
          <w:color w:val="1F4E78"/>
        </w:rPr>
        <w:t xml:space="preserve">REUSE-5  SHOULD - Prefer mapping modules for volatile alignments: </w:t>
      </w:r>
      <w:r>
        <w:t>If a source or external ontology changes on a different cadence, isolate mappings so core domain modules remain stable.</w:t>
      </w:r>
    </w:p>
    <w:p>
      <w:pPr>
        <w:pStyle w:val="Heading1"/>
      </w:pPr>
      <w:r>
        <w:t>13. Competency Questions and Requirements Traceability</w:t>
      </w:r>
    </w:p>
    <w:p>
      <w:r>
        <w:t>Competency questions (CQs) are the executable contract between business need and ontology design. The team should be able to explain what business question each major modeling choice enables.</w:t>
      </w:r>
    </w:p>
    <w:p>
      <w:pPr>
        <w:spacing w:after="80"/>
      </w:pPr>
      <w:r>
        <w:rPr>
          <w:b/>
          <w:color w:val="1F4E78"/>
        </w:rPr>
        <w:t xml:space="preserve">CQ-1  MUST - Write CQs before detailed modeling: </w:t>
      </w:r>
      <w:r>
        <w:t>New modules start with business questions, representative answer patterns and expected inference/validation behavior.</w:t>
      </w:r>
    </w:p>
    <w:p>
      <w:pPr>
        <w:spacing w:after="80"/>
      </w:pPr>
      <w:r>
        <w:rPr>
          <w:b/>
          <w:color w:val="1F4E78"/>
        </w:rPr>
        <w:t xml:space="preserve">CQ-2  MUST - Assign stable IDs: </w:t>
      </w:r>
      <w:r>
        <w:t>Use identifiers such as CQ-POL-001. IDs are permanent and are not renumbered after release.</w:t>
      </w:r>
    </w:p>
    <w:p>
      <w:pPr>
        <w:spacing w:after="80"/>
      </w:pPr>
      <w:r>
        <w:rPr>
          <w:b/>
          <w:color w:val="1F4E78"/>
        </w:rPr>
        <w:t xml:space="preserve">CQ-3  MUST - Provide executable SPARQL where possible: </w:t>
      </w:r>
      <w:r>
        <w:t>Each testable CQ should have a query and a fixture that demonstrates the expected answer.</w:t>
      </w:r>
    </w:p>
    <w:p>
      <w:pPr>
        <w:spacing w:after="80"/>
      </w:pPr>
      <w:r>
        <w:rPr>
          <w:b/>
          <w:color w:val="1F4E78"/>
        </w:rPr>
        <w:t xml:space="preserve">CQ-4  MUST - Trace ontology and shapes: </w:t>
      </w:r>
      <w:r>
        <w:t>Classes, relationships, complex axioms and critical SHACL constraints should reference one or more CQs or formal requirements.</w:t>
      </w:r>
    </w:p>
    <w:p>
      <w:pPr>
        <w:spacing w:after="80"/>
      </w:pPr>
      <w:r>
        <w:rPr>
          <w:b/>
          <w:color w:val="1F4E78"/>
        </w:rPr>
        <w:t xml:space="preserve">CQ-5  MUST - Run CQs in regression CI: </w:t>
      </w:r>
      <w:r>
        <w:t>A change that causes an existing accepted CQ to fail is a compatibility signal and must be reviewed as potentially breaking.</w:t>
      </w:r>
    </w:p>
    <w:p>
      <w:pPr>
        <w:spacing w:after="80"/>
      </w:pPr>
      <w:r>
        <w:rPr>
          <w:b/>
          <w:color w:val="1F4E78"/>
        </w:rPr>
        <w:t xml:space="preserve">CQ-6  SHOULD - Include negative questions: </w:t>
      </w:r>
      <w:r>
        <w:t>Test prohibited/invalid patterns as well as successful business queries.</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160"/>
            <w:shd w:fill="1F4E78"/>
            <w:vAlign w:val="center"/>
            <w:tcMar>
              <w:top w:w="80" w:type="dxa"/>
              <w:start w:w="90" w:type="dxa"/>
              <w:bottom w:w="80" w:type="dxa"/>
              <w:end w:w="90" w:type="dxa"/>
            </w:tcMar>
          </w:tcPr>
          <w:p>
            <w:r>
              <w:rPr>
                <w:b/>
                <w:color w:val="FFFFFF"/>
                <w:sz w:val="18"/>
              </w:rPr>
              <w:t>CQ field</w:t>
            </w:r>
          </w:p>
        </w:tc>
        <w:tc>
          <w:tcPr>
            <w:tcW w:type="dxa" w:w="8064"/>
            <w:shd w:fill="1F4E78"/>
            <w:vAlign w:val="center"/>
            <w:tcMar>
              <w:top w:w="80" w:type="dxa"/>
              <w:start w:w="90" w:type="dxa"/>
              <w:bottom w:w="80" w:type="dxa"/>
              <w:end w:w="90" w:type="dxa"/>
            </w:tcMar>
          </w:tcPr>
          <w:p>
            <w:r>
              <w:rPr>
                <w:b/>
                <w:color w:val="FFFFFF"/>
                <w:sz w:val="18"/>
              </w:rPr>
              <w:t>Required content</w:t>
            </w:r>
          </w:p>
        </w:tc>
      </w:tr>
      <w:tr>
        <w:tc>
          <w:tcPr>
            <w:tcW w:type="dxa" w:w="2160"/>
            <w:vAlign w:val="top"/>
            <w:tcMar>
              <w:top w:w="80" w:type="dxa"/>
              <w:start w:w="90" w:type="dxa"/>
              <w:bottom w:w="80" w:type="dxa"/>
              <w:end w:w="90" w:type="dxa"/>
            </w:tcMar>
          </w:tcPr>
          <w:p>
            <w:r>
              <w:rPr>
                <w:sz w:val="17"/>
              </w:rPr>
              <w:t>ID</w:t>
            </w:r>
          </w:p>
        </w:tc>
        <w:tc>
          <w:tcPr>
            <w:tcW w:type="dxa" w:w="8064"/>
            <w:vAlign w:val="top"/>
            <w:tcMar>
              <w:top w:w="80" w:type="dxa"/>
              <w:start w:w="90" w:type="dxa"/>
              <w:bottom w:w="80" w:type="dxa"/>
              <w:end w:w="90" w:type="dxa"/>
            </w:tcMar>
          </w:tcPr>
          <w:p>
            <w:r>
              <w:rPr>
                <w:sz w:val="17"/>
              </w:rPr>
              <w:t>Stable CQ identifier</w:t>
            </w:r>
          </w:p>
        </w:tc>
      </w:tr>
      <w:tr>
        <w:tc>
          <w:tcPr>
            <w:tcW w:type="dxa" w:w="2160"/>
            <w:vAlign w:val="top"/>
            <w:tcMar>
              <w:top w:w="80" w:type="dxa"/>
              <w:start w:w="90" w:type="dxa"/>
              <w:bottom w:w="80" w:type="dxa"/>
              <w:end w:w="90" w:type="dxa"/>
            </w:tcMar>
          </w:tcPr>
          <w:p>
            <w:r>
              <w:rPr>
                <w:sz w:val="17"/>
              </w:rPr>
              <w:t>Question</w:t>
            </w:r>
          </w:p>
        </w:tc>
        <w:tc>
          <w:tcPr>
            <w:tcW w:type="dxa" w:w="8064"/>
            <w:vAlign w:val="top"/>
            <w:tcMar>
              <w:top w:w="80" w:type="dxa"/>
              <w:start w:w="90" w:type="dxa"/>
              <w:bottom w:w="80" w:type="dxa"/>
              <w:end w:w="90" w:type="dxa"/>
            </w:tcMar>
          </w:tcPr>
          <w:p>
            <w:r>
              <w:rPr>
                <w:sz w:val="17"/>
              </w:rPr>
              <w:t>Business-language question</w:t>
            </w:r>
          </w:p>
        </w:tc>
      </w:tr>
      <w:tr>
        <w:tc>
          <w:tcPr>
            <w:tcW w:type="dxa" w:w="2160"/>
            <w:vAlign w:val="top"/>
            <w:tcMar>
              <w:top w:w="80" w:type="dxa"/>
              <w:start w:w="90" w:type="dxa"/>
              <w:bottom w:w="80" w:type="dxa"/>
              <w:end w:w="90" w:type="dxa"/>
            </w:tcMar>
          </w:tcPr>
          <w:p>
            <w:r>
              <w:rPr>
                <w:sz w:val="17"/>
              </w:rPr>
              <w:t>Business owner</w:t>
            </w:r>
          </w:p>
        </w:tc>
        <w:tc>
          <w:tcPr>
            <w:tcW w:type="dxa" w:w="8064"/>
            <w:vAlign w:val="top"/>
            <w:tcMar>
              <w:top w:w="80" w:type="dxa"/>
              <w:start w:w="90" w:type="dxa"/>
              <w:bottom w:w="80" w:type="dxa"/>
              <w:end w:w="90" w:type="dxa"/>
            </w:tcMar>
          </w:tcPr>
          <w:p>
            <w:r>
              <w:rPr>
                <w:sz w:val="17"/>
              </w:rPr>
              <w:t>SME/product owner responsible for correctness</w:t>
            </w:r>
          </w:p>
        </w:tc>
      </w:tr>
      <w:tr>
        <w:tc>
          <w:tcPr>
            <w:tcW w:type="dxa" w:w="2160"/>
            <w:vAlign w:val="top"/>
            <w:tcMar>
              <w:top w:w="80" w:type="dxa"/>
              <w:start w:w="90" w:type="dxa"/>
              <w:bottom w:w="80" w:type="dxa"/>
              <w:end w:w="90" w:type="dxa"/>
            </w:tcMar>
          </w:tcPr>
          <w:p>
            <w:r>
              <w:rPr>
                <w:sz w:val="17"/>
              </w:rPr>
              <w:t>Scope</w:t>
            </w:r>
          </w:p>
        </w:tc>
        <w:tc>
          <w:tcPr>
            <w:tcW w:type="dxa" w:w="8064"/>
            <w:vAlign w:val="top"/>
            <w:tcMar>
              <w:top w:w="80" w:type="dxa"/>
              <w:start w:w="90" w:type="dxa"/>
              <w:bottom w:w="80" w:type="dxa"/>
              <w:end w:w="90" w:type="dxa"/>
            </w:tcMar>
          </w:tcPr>
          <w:p>
            <w:r>
              <w:rPr>
                <w:sz w:val="17"/>
              </w:rPr>
              <w:t>Module(s) and concepts involved</w:t>
            </w:r>
          </w:p>
        </w:tc>
      </w:tr>
      <w:tr>
        <w:tc>
          <w:tcPr>
            <w:tcW w:type="dxa" w:w="2160"/>
            <w:vAlign w:val="top"/>
            <w:tcMar>
              <w:top w:w="80" w:type="dxa"/>
              <w:start w:w="90" w:type="dxa"/>
              <w:bottom w:w="80" w:type="dxa"/>
              <w:end w:w="90" w:type="dxa"/>
            </w:tcMar>
          </w:tcPr>
          <w:p>
            <w:r>
              <w:rPr>
                <w:sz w:val="17"/>
              </w:rPr>
              <w:t>Expected answer</w:t>
            </w:r>
          </w:p>
        </w:tc>
        <w:tc>
          <w:tcPr>
            <w:tcW w:type="dxa" w:w="8064"/>
            <w:vAlign w:val="top"/>
            <w:tcMar>
              <w:top w:w="80" w:type="dxa"/>
              <w:start w:w="90" w:type="dxa"/>
              <w:bottom w:w="80" w:type="dxa"/>
              <w:end w:w="90" w:type="dxa"/>
            </w:tcMar>
          </w:tcPr>
          <w:p>
            <w:r>
              <w:rPr>
                <w:sz w:val="17"/>
              </w:rPr>
              <w:t>Narrative and/or machine-testable expected result</w:t>
            </w:r>
          </w:p>
        </w:tc>
      </w:tr>
      <w:tr>
        <w:tc>
          <w:tcPr>
            <w:tcW w:type="dxa" w:w="2160"/>
            <w:vAlign w:val="top"/>
            <w:tcMar>
              <w:top w:w="80" w:type="dxa"/>
              <w:start w:w="90" w:type="dxa"/>
              <w:bottom w:w="80" w:type="dxa"/>
              <w:end w:w="90" w:type="dxa"/>
            </w:tcMar>
          </w:tcPr>
          <w:p>
            <w:r>
              <w:rPr>
                <w:sz w:val="17"/>
              </w:rPr>
              <w:t>SPARQL</w:t>
            </w:r>
          </w:p>
        </w:tc>
        <w:tc>
          <w:tcPr>
            <w:tcW w:type="dxa" w:w="8064"/>
            <w:vAlign w:val="top"/>
            <w:tcMar>
              <w:top w:w="80" w:type="dxa"/>
              <w:start w:w="90" w:type="dxa"/>
              <w:bottom w:w="80" w:type="dxa"/>
              <w:end w:w="90" w:type="dxa"/>
            </w:tcMar>
          </w:tcPr>
          <w:p>
            <w:r>
              <w:rPr>
                <w:sz w:val="17"/>
              </w:rPr>
              <w:t>Executable query where practical</w:t>
            </w:r>
          </w:p>
        </w:tc>
      </w:tr>
      <w:tr>
        <w:tc>
          <w:tcPr>
            <w:tcW w:type="dxa" w:w="2160"/>
            <w:vAlign w:val="top"/>
            <w:tcMar>
              <w:top w:w="80" w:type="dxa"/>
              <w:start w:w="90" w:type="dxa"/>
              <w:bottom w:w="80" w:type="dxa"/>
              <w:end w:w="90" w:type="dxa"/>
            </w:tcMar>
          </w:tcPr>
          <w:p>
            <w:r>
              <w:rPr>
                <w:sz w:val="17"/>
              </w:rPr>
              <w:t>Fixtures</w:t>
            </w:r>
          </w:p>
        </w:tc>
        <w:tc>
          <w:tcPr>
            <w:tcW w:type="dxa" w:w="8064"/>
            <w:vAlign w:val="top"/>
            <w:tcMar>
              <w:top w:w="80" w:type="dxa"/>
              <w:start w:w="90" w:type="dxa"/>
              <w:bottom w:w="80" w:type="dxa"/>
              <w:end w:w="90" w:type="dxa"/>
            </w:tcMar>
          </w:tcPr>
          <w:p>
            <w:r>
              <w:rPr>
                <w:sz w:val="17"/>
              </w:rPr>
              <w:t>Sample data used by test</w:t>
            </w:r>
          </w:p>
        </w:tc>
      </w:tr>
      <w:tr>
        <w:tc>
          <w:tcPr>
            <w:tcW w:type="dxa" w:w="2160"/>
            <w:vAlign w:val="top"/>
            <w:tcMar>
              <w:top w:w="80" w:type="dxa"/>
              <w:start w:w="90" w:type="dxa"/>
              <w:bottom w:w="80" w:type="dxa"/>
              <w:end w:w="90" w:type="dxa"/>
            </w:tcMar>
          </w:tcPr>
          <w:p>
            <w:r>
              <w:rPr>
                <w:sz w:val="17"/>
              </w:rPr>
              <w:t>Trace links</w:t>
            </w:r>
          </w:p>
        </w:tc>
        <w:tc>
          <w:tcPr>
            <w:tcW w:type="dxa" w:w="8064"/>
            <w:vAlign w:val="top"/>
            <w:tcMar>
              <w:top w:w="80" w:type="dxa"/>
              <w:start w:w="90" w:type="dxa"/>
              <w:bottom w:w="80" w:type="dxa"/>
              <w:end w:w="90" w:type="dxa"/>
            </w:tcMar>
          </w:tcPr>
          <w:p>
            <w:r>
              <w:rPr>
                <w:sz w:val="17"/>
              </w:rPr>
              <w:t>Related classes/properties/shapes/mappings</w:t>
            </w:r>
          </w:p>
        </w:tc>
      </w:tr>
      <w:tr>
        <w:tc>
          <w:tcPr>
            <w:tcW w:type="dxa" w:w="2160"/>
            <w:vAlign w:val="top"/>
            <w:tcMar>
              <w:top w:w="80" w:type="dxa"/>
              <w:start w:w="90" w:type="dxa"/>
              <w:bottom w:w="80" w:type="dxa"/>
              <w:end w:w="90" w:type="dxa"/>
            </w:tcMar>
          </w:tcPr>
          <w:p>
            <w:r>
              <w:rPr>
                <w:sz w:val="17"/>
              </w:rPr>
              <w:t>Status</w:t>
            </w:r>
          </w:p>
        </w:tc>
        <w:tc>
          <w:tcPr>
            <w:tcW w:type="dxa" w:w="8064"/>
            <w:vAlign w:val="top"/>
            <w:tcMar>
              <w:top w:w="80" w:type="dxa"/>
              <w:start w:w="90" w:type="dxa"/>
              <w:bottom w:w="80" w:type="dxa"/>
              <w:end w:w="90" w:type="dxa"/>
            </w:tcMar>
          </w:tcPr>
          <w:p>
            <w:r>
              <w:rPr>
                <w:sz w:val="17"/>
              </w:rPr>
              <w:t>Proposed / Accepted / Deprecated</w:t>
            </w:r>
          </w:p>
        </w:tc>
      </w:tr>
    </w:tbl>
    <w:p>
      <w:pPr>
        <w:spacing w:after="20"/>
      </w:pPr>
    </w:p>
    <w:p>
      <w:pPr>
        <w:pStyle w:val="Heading1"/>
      </w:pPr>
      <w:r>
        <w:t>14. Sample Data and A-Box Rules</w:t>
      </w:r>
    </w:p>
    <w:p>
      <w:pPr>
        <w:spacing w:after="80"/>
      </w:pPr>
      <w:r>
        <w:rPr>
          <w:b/>
          <w:color w:val="1F4E78"/>
        </w:rPr>
        <w:t xml:space="preserve">DATA-1  MUST - Use synthetic or approved de-identified examples: </w:t>
      </w:r>
      <w:r>
        <w:t>Repository sample data must not contain production PII, PHI, confidential policy details, credentials or secrets.</w:t>
      </w:r>
    </w:p>
    <w:p>
      <w:pPr>
        <w:spacing w:after="80"/>
      </w:pPr>
      <w:r>
        <w:rPr>
          <w:b/>
          <w:color w:val="1F4E78"/>
        </w:rPr>
        <w:t xml:space="preserve">DATA-2  MUST - Separate examples from T-Box: </w:t>
      </w:r>
      <w:r>
        <w:t>Sample individuals live in samples/ and their /resource/.../example/ namespace.</w:t>
      </w:r>
    </w:p>
    <w:p>
      <w:pPr>
        <w:spacing w:after="80"/>
      </w:pPr>
      <w:r>
        <w:rPr>
          <w:b/>
          <w:color w:val="1F4E78"/>
        </w:rPr>
        <w:t xml:space="preserve">DATA-3  MUST - Provide minimal canonical fixtures: </w:t>
      </w:r>
      <w:r>
        <w:t>Every module should include enough valid data to demonstrate its major concepts and competency questions.</w:t>
      </w:r>
    </w:p>
    <w:p>
      <w:pPr>
        <w:spacing w:after="80"/>
      </w:pPr>
      <w:r>
        <w:rPr>
          <w:b/>
          <w:color w:val="1F4E78"/>
        </w:rPr>
        <w:t xml:space="preserve">DATA-4  SHOULD - Include invalid fixtures: </w:t>
      </w:r>
      <w:r>
        <w:t>Critical SHACL rules should have intentionally invalid examples under samples/invalid/.</w:t>
      </w:r>
    </w:p>
    <w:p>
      <w:pPr>
        <w:spacing w:after="80"/>
      </w:pPr>
      <w:r>
        <w:rPr>
          <w:b/>
          <w:color w:val="1F4E78"/>
        </w:rPr>
        <w:t xml:space="preserve">DATA-5  MUST - Stable references inside regression fixtures: </w:t>
      </w:r>
      <w:r>
        <w:t>Fixture identifiers should not change casually because they are part of test expectations.</w:t>
      </w:r>
    </w:p>
    <w:p>
      <w:pPr>
        <w:spacing w:after="80"/>
      </w:pPr>
      <w:r>
        <w:rPr>
          <w:b/>
          <w:color w:val="1F4E78"/>
        </w:rPr>
        <w:t xml:space="preserve">DATA-6  MUST - No sample imports in production ontology: </w:t>
      </w:r>
      <w:r>
        <w:t>An owl:Ontology must not import sample data. Test harnesses load ontology + shapes + fixtures explicitly.</w:t>
      </w:r>
    </w:p>
    <w:p>
      <w:pPr>
        <w:pStyle w:val="Heading1"/>
      </w:pPr>
      <w:r>
        <w:t>15. Metadata, Documentation and Provenance</w:t>
      </w:r>
    </w:p>
    <w:p>
      <w:r>
        <w:t>Every published semantic term must be understandable without opening a design presentation. Documentation is part of the ontology quality bar, not an optional afterthought.</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1944"/>
            <w:shd w:fill="1F4E78"/>
            <w:vAlign w:val="center"/>
            <w:tcMar>
              <w:top w:w="80" w:type="dxa"/>
              <w:start w:w="90" w:type="dxa"/>
              <w:bottom w:w="80" w:type="dxa"/>
              <w:end w:w="90" w:type="dxa"/>
            </w:tcMar>
          </w:tcPr>
          <w:p>
            <w:r>
              <w:rPr>
                <w:b/>
                <w:color w:val="FFFFFF"/>
                <w:sz w:val="18"/>
              </w:rPr>
              <w:t>Resource</w:t>
            </w:r>
          </w:p>
        </w:tc>
        <w:tc>
          <w:tcPr>
            <w:tcW w:type="dxa" w:w="8280"/>
            <w:shd w:fill="1F4E78"/>
            <w:vAlign w:val="center"/>
            <w:tcMar>
              <w:top w:w="80" w:type="dxa"/>
              <w:start w:w="90" w:type="dxa"/>
              <w:bottom w:w="80" w:type="dxa"/>
              <w:end w:w="90" w:type="dxa"/>
            </w:tcMar>
          </w:tcPr>
          <w:p>
            <w:r>
              <w:rPr>
                <w:b/>
                <w:color w:val="FFFFFF"/>
                <w:sz w:val="18"/>
              </w:rPr>
              <w:t>Minimum metadata</w:t>
            </w:r>
          </w:p>
        </w:tc>
      </w:tr>
      <w:tr>
        <w:tc>
          <w:tcPr>
            <w:tcW w:type="dxa" w:w="1944"/>
            <w:vAlign w:val="top"/>
            <w:tcMar>
              <w:top w:w="80" w:type="dxa"/>
              <w:start w:w="90" w:type="dxa"/>
              <w:bottom w:w="80" w:type="dxa"/>
              <w:end w:w="90" w:type="dxa"/>
            </w:tcMar>
          </w:tcPr>
          <w:p>
            <w:r>
              <w:rPr>
                <w:sz w:val="17"/>
              </w:rPr>
              <w:t>Ontology module</w:t>
            </w:r>
          </w:p>
        </w:tc>
        <w:tc>
          <w:tcPr>
            <w:tcW w:type="dxa" w:w="8280"/>
            <w:vAlign w:val="top"/>
            <w:tcMar>
              <w:top w:w="80" w:type="dxa"/>
              <w:start w:w="90" w:type="dxa"/>
              <w:bottom w:w="80" w:type="dxa"/>
              <w:end w:w="90" w:type="dxa"/>
            </w:tcMar>
          </w:tcPr>
          <w:p>
            <w:r>
              <w:rPr>
                <w:sz w:val="17"/>
              </w:rPr>
              <w:t>dct:title, dct:description, dct:creator/owner, dct:created, dct:modified, owl:versionInfo, owl:versionIRI, preferred prefix/namespace, license/access classification, imports</w:t>
            </w:r>
          </w:p>
        </w:tc>
      </w:tr>
      <w:tr>
        <w:tc>
          <w:tcPr>
            <w:tcW w:type="dxa" w:w="1944"/>
            <w:vAlign w:val="top"/>
            <w:tcMar>
              <w:top w:w="80" w:type="dxa"/>
              <w:start w:w="90" w:type="dxa"/>
              <w:bottom w:w="80" w:type="dxa"/>
              <w:end w:w="90" w:type="dxa"/>
            </w:tcMar>
          </w:tcPr>
          <w:p>
            <w:r>
              <w:rPr>
                <w:sz w:val="17"/>
              </w:rPr>
              <w:t>Class</w:t>
            </w:r>
          </w:p>
        </w:tc>
        <w:tc>
          <w:tcPr>
            <w:tcW w:type="dxa" w:w="8280"/>
            <w:vAlign w:val="top"/>
            <w:tcMar>
              <w:top w:w="80" w:type="dxa"/>
              <w:start w:w="90" w:type="dxa"/>
              <w:bottom w:w="80" w:type="dxa"/>
              <w:end w:w="90" w:type="dxa"/>
            </w:tcMar>
          </w:tcPr>
          <w:p>
            <w:r>
              <w:rPr>
                <w:sz w:val="17"/>
              </w:rPr>
              <w:t>rdfs:label, definition/comment, owner/module, CQ/requirement trace when significant</w:t>
            </w:r>
          </w:p>
        </w:tc>
      </w:tr>
      <w:tr>
        <w:tc>
          <w:tcPr>
            <w:tcW w:type="dxa" w:w="1944"/>
            <w:vAlign w:val="top"/>
            <w:tcMar>
              <w:top w:w="80" w:type="dxa"/>
              <w:start w:w="90" w:type="dxa"/>
              <w:bottom w:w="80" w:type="dxa"/>
              <w:end w:w="90" w:type="dxa"/>
            </w:tcMar>
          </w:tcPr>
          <w:p>
            <w:r>
              <w:rPr>
                <w:sz w:val="17"/>
              </w:rPr>
              <w:t>Object property</w:t>
            </w:r>
          </w:p>
        </w:tc>
        <w:tc>
          <w:tcPr>
            <w:tcW w:type="dxa" w:w="8280"/>
            <w:vAlign w:val="top"/>
            <w:tcMar>
              <w:top w:w="80" w:type="dxa"/>
              <w:start w:w="90" w:type="dxa"/>
              <w:bottom w:w="80" w:type="dxa"/>
              <w:end w:w="90" w:type="dxa"/>
            </w:tcMar>
          </w:tcPr>
          <w:p>
            <w:r>
              <w:rPr>
                <w:sz w:val="17"/>
              </w:rPr>
              <w:t>rdfs:label, clear definition, domain/range only when semantically true, inverse/characteristics if applicable</w:t>
            </w:r>
          </w:p>
        </w:tc>
      </w:tr>
      <w:tr>
        <w:tc>
          <w:tcPr>
            <w:tcW w:type="dxa" w:w="1944"/>
            <w:vAlign w:val="top"/>
            <w:tcMar>
              <w:top w:w="80" w:type="dxa"/>
              <w:start w:w="90" w:type="dxa"/>
              <w:bottom w:w="80" w:type="dxa"/>
              <w:end w:w="90" w:type="dxa"/>
            </w:tcMar>
          </w:tcPr>
          <w:p>
            <w:r>
              <w:rPr>
                <w:sz w:val="17"/>
              </w:rPr>
              <w:t>Datatype property</w:t>
            </w:r>
          </w:p>
        </w:tc>
        <w:tc>
          <w:tcPr>
            <w:tcW w:type="dxa" w:w="8280"/>
            <w:vAlign w:val="top"/>
            <w:tcMar>
              <w:top w:w="80" w:type="dxa"/>
              <w:start w:w="90" w:type="dxa"/>
              <w:bottom w:w="80" w:type="dxa"/>
              <w:end w:w="90" w:type="dxa"/>
            </w:tcMar>
          </w:tcPr>
          <w:p>
            <w:r>
              <w:rPr>
                <w:sz w:val="17"/>
              </w:rPr>
              <w:t>rdfs:label, definition, semantic datatype expectation where meaningful</w:t>
            </w:r>
          </w:p>
        </w:tc>
      </w:tr>
      <w:tr>
        <w:tc>
          <w:tcPr>
            <w:tcW w:type="dxa" w:w="1944"/>
            <w:vAlign w:val="top"/>
            <w:tcMar>
              <w:top w:w="80" w:type="dxa"/>
              <w:start w:w="90" w:type="dxa"/>
              <w:bottom w:w="80" w:type="dxa"/>
              <w:end w:w="90" w:type="dxa"/>
            </w:tcMar>
          </w:tcPr>
          <w:p>
            <w:r>
              <w:rPr>
                <w:sz w:val="17"/>
              </w:rPr>
              <w:t>SKOS concept</w:t>
            </w:r>
          </w:p>
        </w:tc>
        <w:tc>
          <w:tcPr>
            <w:tcW w:type="dxa" w:w="8280"/>
            <w:vAlign w:val="top"/>
            <w:tcMar>
              <w:top w:w="80" w:type="dxa"/>
              <w:start w:w="90" w:type="dxa"/>
              <w:bottom w:w="80" w:type="dxa"/>
              <w:end w:w="90" w:type="dxa"/>
            </w:tcMar>
          </w:tcPr>
          <w:p>
            <w:r>
              <w:rPr>
                <w:sz w:val="17"/>
              </w:rPr>
              <w:t>prefLabel, inScheme, notation when applicable, definition/scope note for ambiguous terms</w:t>
            </w:r>
          </w:p>
        </w:tc>
      </w:tr>
      <w:tr>
        <w:tc>
          <w:tcPr>
            <w:tcW w:type="dxa" w:w="1944"/>
            <w:vAlign w:val="top"/>
            <w:tcMar>
              <w:top w:w="80" w:type="dxa"/>
              <w:start w:w="90" w:type="dxa"/>
              <w:bottom w:w="80" w:type="dxa"/>
              <w:end w:w="90" w:type="dxa"/>
            </w:tcMar>
          </w:tcPr>
          <w:p>
            <w:r>
              <w:rPr>
                <w:sz w:val="17"/>
              </w:rPr>
              <w:t>Deprecated term</w:t>
            </w:r>
          </w:p>
        </w:tc>
        <w:tc>
          <w:tcPr>
            <w:tcW w:type="dxa" w:w="8280"/>
            <w:vAlign w:val="top"/>
            <w:tcMar>
              <w:top w:w="80" w:type="dxa"/>
              <w:start w:w="90" w:type="dxa"/>
              <w:bottom w:w="80" w:type="dxa"/>
              <w:end w:w="90" w:type="dxa"/>
            </w:tcMar>
          </w:tcPr>
          <w:p>
            <w:r>
              <w:rPr>
                <w:sz w:val="17"/>
              </w:rPr>
              <w:t>owl:deprecated true, deprecation reason/date, replacement if one exists, change note</w:t>
            </w:r>
          </w:p>
        </w:tc>
      </w:tr>
    </w:tbl>
    <w:p>
      <w:pPr>
        <w:spacing w:after="20"/>
      </w:pPr>
    </w:p>
    <w:p>
      <w:pPr>
        <w:spacing w:after="80"/>
      </w:pPr>
      <w:r>
        <w:rPr>
          <w:b/>
          <w:color w:val="1F4E78"/>
        </w:rPr>
        <w:t xml:space="preserve">DOC-1  MUST - Definitions are business definitions: </w:t>
      </w:r>
      <w:r>
        <w:t>Avoid circular definitions such as "A Policy is a policy." Define the distinguishing business meaning.</w:t>
      </w:r>
    </w:p>
    <w:p>
      <w:pPr>
        <w:spacing w:after="80"/>
      </w:pPr>
      <w:r>
        <w:rPr>
          <w:b/>
          <w:color w:val="1F4E78"/>
        </w:rPr>
        <w:t xml:space="preserve">DOC-2  MUST - Document source/provenance: </w:t>
      </w:r>
      <w:r>
        <w:t>When a concept comes from regulation, ACORD, FIBO, an internal policy, a source system or SME decision, capture the source or mapping provenance.</w:t>
      </w:r>
    </w:p>
    <w:p>
      <w:pPr>
        <w:spacing w:after="80"/>
      </w:pPr>
      <w:r>
        <w:rPr>
          <w:b/>
          <w:color w:val="1F4E78"/>
        </w:rPr>
        <w:t xml:space="preserve">DOC-3  SHOULD - Provide examples for complex concepts: </w:t>
      </w:r>
      <w:r>
        <w:t>Use skos:example, rdfs:comment or dedicated documentation examples where they materially improve understanding.</w:t>
      </w:r>
    </w:p>
    <w:p>
      <w:pPr>
        <w:spacing w:after="80"/>
      </w:pPr>
      <w:r>
        <w:rPr>
          <w:b/>
          <w:color w:val="1F4E78"/>
        </w:rPr>
        <w:t xml:space="preserve">DOC-4  MUST - Generate documentation from RDF: </w:t>
      </w:r>
      <w:r>
        <w:t>Human-readable ontology documentation should be generated from the canonical model so labels, definitions and relationships cannot drift.</w:t>
      </w:r>
    </w:p>
    <w:p>
      <w:pPr>
        <w:pStyle w:val="Heading1"/>
      </w:pPr>
      <w:r>
        <w:t>16. Versioning, Deprecation and Change Management</w:t>
      </w:r>
    </w:p>
    <w:p>
      <w:r>
        <w:t>The ontology namespace is a permanent identity; a version IRI identifies a specific release snapshot. Use semantic versioning based on consumer impact, not on the amount of engineering effort.</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2016"/>
            <w:shd w:fill="1F4E78"/>
            <w:vAlign w:val="center"/>
            <w:tcMar>
              <w:top w:w="80" w:type="dxa"/>
              <w:start w:w="90" w:type="dxa"/>
              <w:bottom w:w="80" w:type="dxa"/>
              <w:end w:w="90" w:type="dxa"/>
            </w:tcMar>
          </w:tcPr>
          <w:p>
            <w:r>
              <w:rPr>
                <w:b/>
                <w:color w:val="FFFFFF"/>
                <w:sz w:val="18"/>
              </w:rPr>
              <w:t>Change type</w:t>
            </w:r>
          </w:p>
        </w:tc>
        <w:tc>
          <w:tcPr>
            <w:tcW w:type="dxa" w:w="1584"/>
            <w:shd w:fill="1F4E78"/>
            <w:vAlign w:val="center"/>
            <w:tcMar>
              <w:top w:w="80" w:type="dxa"/>
              <w:start w:w="90" w:type="dxa"/>
              <w:bottom w:w="80" w:type="dxa"/>
              <w:end w:w="90" w:type="dxa"/>
            </w:tcMar>
          </w:tcPr>
          <w:p>
            <w:r>
              <w:rPr>
                <w:b/>
                <w:color w:val="FFFFFF"/>
                <w:sz w:val="18"/>
              </w:rPr>
              <w:t>Version bump</w:t>
            </w:r>
          </w:p>
        </w:tc>
        <w:tc>
          <w:tcPr>
            <w:tcW w:type="dxa" w:w="6624"/>
            <w:shd w:fill="1F4E78"/>
            <w:vAlign w:val="center"/>
            <w:tcMar>
              <w:top w:w="80" w:type="dxa"/>
              <w:start w:w="90" w:type="dxa"/>
              <w:bottom w:w="80" w:type="dxa"/>
              <w:end w:w="90" w:type="dxa"/>
            </w:tcMar>
          </w:tcPr>
          <w:p>
            <w:r>
              <w:rPr>
                <w:b/>
                <w:color w:val="FFFFFF"/>
                <w:sz w:val="18"/>
              </w:rPr>
              <w:t>Examples</w:t>
            </w:r>
          </w:p>
        </w:tc>
      </w:tr>
      <w:tr>
        <w:tc>
          <w:tcPr>
            <w:tcW w:type="dxa" w:w="2016"/>
            <w:vAlign w:val="top"/>
            <w:tcMar>
              <w:top w:w="80" w:type="dxa"/>
              <w:start w:w="90" w:type="dxa"/>
              <w:bottom w:w="80" w:type="dxa"/>
              <w:end w:w="90" w:type="dxa"/>
            </w:tcMar>
          </w:tcPr>
          <w:p>
            <w:r>
              <w:rPr>
                <w:sz w:val="17"/>
              </w:rPr>
              <w:t>Breaking</w:t>
            </w:r>
          </w:p>
        </w:tc>
        <w:tc>
          <w:tcPr>
            <w:tcW w:type="dxa" w:w="1584"/>
            <w:vAlign w:val="top"/>
            <w:tcMar>
              <w:top w:w="80" w:type="dxa"/>
              <w:start w:w="90" w:type="dxa"/>
              <w:bottom w:w="80" w:type="dxa"/>
              <w:end w:w="90" w:type="dxa"/>
            </w:tcMar>
          </w:tcPr>
          <w:p>
            <w:r>
              <w:rPr>
                <w:sz w:val="17"/>
              </w:rPr>
              <w:t>MAJOR</w:t>
            </w:r>
          </w:p>
        </w:tc>
        <w:tc>
          <w:tcPr>
            <w:tcW w:type="dxa" w:w="6624"/>
            <w:vAlign w:val="top"/>
            <w:tcMar>
              <w:top w:w="80" w:type="dxa"/>
              <w:start w:w="90" w:type="dxa"/>
              <w:bottom w:w="80" w:type="dxa"/>
              <w:end w:w="90" w:type="dxa"/>
            </w:tcMar>
          </w:tcPr>
          <w:p>
            <w:r>
              <w:rPr>
                <w:sz w:val="17"/>
              </w:rPr>
              <w:t>Remove/replace semantic behavior; change meaning; strengthen logical commitments that invalidate consumers; change namespace; incompatible range/domain; delete previously valid vocabulary behavior</w:t>
            </w:r>
          </w:p>
        </w:tc>
      </w:tr>
      <w:tr>
        <w:tc>
          <w:tcPr>
            <w:tcW w:type="dxa" w:w="2016"/>
            <w:vAlign w:val="top"/>
            <w:tcMar>
              <w:top w:w="80" w:type="dxa"/>
              <w:start w:w="90" w:type="dxa"/>
              <w:bottom w:w="80" w:type="dxa"/>
              <w:end w:w="90" w:type="dxa"/>
            </w:tcMar>
          </w:tcPr>
          <w:p>
            <w:r>
              <w:rPr>
                <w:sz w:val="17"/>
              </w:rPr>
              <w:t>Additive compatible</w:t>
            </w:r>
          </w:p>
        </w:tc>
        <w:tc>
          <w:tcPr>
            <w:tcW w:type="dxa" w:w="1584"/>
            <w:vAlign w:val="top"/>
            <w:tcMar>
              <w:top w:w="80" w:type="dxa"/>
              <w:start w:w="90" w:type="dxa"/>
              <w:bottom w:w="80" w:type="dxa"/>
              <w:end w:w="90" w:type="dxa"/>
            </w:tcMar>
          </w:tcPr>
          <w:p>
            <w:r>
              <w:rPr>
                <w:sz w:val="17"/>
              </w:rPr>
              <w:t>MINOR</w:t>
            </w:r>
          </w:p>
        </w:tc>
        <w:tc>
          <w:tcPr>
            <w:tcW w:type="dxa" w:w="6624"/>
            <w:vAlign w:val="top"/>
            <w:tcMar>
              <w:top w:w="80" w:type="dxa"/>
              <w:start w:w="90" w:type="dxa"/>
              <w:bottom w:w="80" w:type="dxa"/>
              <w:end w:w="90" w:type="dxa"/>
            </w:tcMar>
          </w:tcPr>
          <w:p>
            <w:r>
              <w:rPr>
                <w:sz w:val="17"/>
              </w:rPr>
              <w:t>Add new class/property/concept/shape that does not invalidate existing conforming consumers; add optional mappings</w:t>
            </w:r>
          </w:p>
        </w:tc>
      </w:tr>
      <w:tr>
        <w:tc>
          <w:tcPr>
            <w:tcW w:type="dxa" w:w="2016"/>
            <w:vAlign w:val="top"/>
            <w:tcMar>
              <w:top w:w="80" w:type="dxa"/>
              <w:start w:w="90" w:type="dxa"/>
              <w:bottom w:w="80" w:type="dxa"/>
              <w:end w:w="90" w:type="dxa"/>
            </w:tcMar>
          </w:tcPr>
          <w:p>
            <w:r>
              <w:rPr>
                <w:sz w:val="17"/>
              </w:rPr>
              <w:t>Editorial/non-semantic</w:t>
            </w:r>
          </w:p>
        </w:tc>
        <w:tc>
          <w:tcPr>
            <w:tcW w:type="dxa" w:w="1584"/>
            <w:vAlign w:val="top"/>
            <w:tcMar>
              <w:top w:w="80" w:type="dxa"/>
              <w:start w:w="90" w:type="dxa"/>
              <w:bottom w:w="80" w:type="dxa"/>
              <w:end w:w="90" w:type="dxa"/>
            </w:tcMar>
          </w:tcPr>
          <w:p>
            <w:r>
              <w:rPr>
                <w:sz w:val="17"/>
              </w:rPr>
              <w:t>PATCH</w:t>
            </w:r>
          </w:p>
        </w:tc>
        <w:tc>
          <w:tcPr>
            <w:tcW w:type="dxa" w:w="6624"/>
            <w:vAlign w:val="top"/>
            <w:tcMar>
              <w:top w:w="80" w:type="dxa"/>
              <w:start w:w="90" w:type="dxa"/>
              <w:bottom w:w="80" w:type="dxa"/>
              <w:end w:w="90" w:type="dxa"/>
            </w:tcMar>
          </w:tcPr>
          <w:p>
            <w:r>
              <w:rPr>
                <w:sz w:val="17"/>
              </w:rPr>
              <w:t>Fix labels, comments, examples, metadata, documentation or serialization without changing semantic behavior</w:t>
            </w:r>
          </w:p>
        </w:tc>
      </w:tr>
    </w:tbl>
    <w:p>
      <w:pPr>
        <w:spacing w:after="20"/>
      </w:pPr>
    </w:p>
    <w:p>
      <w:pPr>
        <w:spacing w:after="80"/>
      </w:pPr>
      <w:r>
        <w:rPr>
          <w:b/>
          <w:color w:val="1F4E78"/>
        </w:rPr>
        <w:t xml:space="preserve">VER-1  MUST - Stable ontology IRI: </w:t>
      </w:r>
      <w:r>
        <w:t>The module namespace does not change between versions.</w:t>
      </w:r>
    </w:p>
    <w:p>
      <w:pPr>
        <w:spacing w:after="80"/>
      </w:pPr>
      <w:r>
        <w:rPr>
          <w:b/>
          <w:color w:val="1F4E78"/>
        </w:rPr>
        <w:t xml:space="preserve">VER-2  MUST - Version IRI + versionInfo: </w:t>
      </w:r>
      <w:r>
        <w:t>Every release declares owl:versionIRI and owl:versionInfo using major.minor.patch.</w:t>
      </w:r>
    </w:p>
    <w:p>
      <w:pPr>
        <w:spacing w:after="80"/>
      </w:pPr>
      <w:r>
        <w:rPr>
          <w:b/>
          <w:color w:val="1F4E78"/>
        </w:rPr>
        <w:t xml:space="preserve">VER-3  MUST - Changelog per module: </w:t>
      </w:r>
      <w:r>
        <w:t>Record added, changed, deprecated, fixed and breaking changes, with issue/decision references.</w:t>
      </w:r>
    </w:p>
    <w:p>
      <w:pPr>
        <w:spacing w:after="80"/>
      </w:pPr>
      <w:r>
        <w:rPr>
          <w:b/>
          <w:color w:val="1F4E78"/>
        </w:rPr>
        <w:t xml:space="preserve">VER-4  MUST - Deprecate before removal: </w:t>
      </w:r>
      <w:r>
        <w:t>Published terms are retained with owl:deprecated true. They remain resolvable and should link to replacements where available.</w:t>
      </w:r>
    </w:p>
    <w:p>
      <w:pPr>
        <w:spacing w:after="80"/>
      </w:pPr>
      <w:r>
        <w:rPr>
          <w:b/>
          <w:color w:val="1F4E78"/>
        </w:rPr>
        <w:t xml:space="preserve">VER-5  MUST - Never alter historical release snapshots: </w:t>
      </w:r>
      <w:r>
        <w:t>A published version IRI is immutable. Corrections require a new version.</w:t>
      </w:r>
    </w:p>
    <w:p>
      <w:pPr>
        <w:spacing w:after="80"/>
      </w:pPr>
      <w:r>
        <w:rPr>
          <w:b/>
          <w:color w:val="1F4E78"/>
        </w:rPr>
        <w:t xml:space="preserve">VER-6  SHOULD - Pin imports for reproducible releases: </w:t>
      </w:r>
      <w:r>
        <w:t>Release builds should resolve dependencies to approved versions/catalog entries so the import closure is reproducible.</w:t>
      </w:r>
    </w:p>
    <w:p>
      <w:pPr>
        <w:spacing w:after="80"/>
      </w:pPr>
      <w:r>
        <w:rPr>
          <w:b/>
          <w:color w:val="1F4E78"/>
        </w:rPr>
        <w:t xml:space="preserve">VER-7  MUST - Classify compatibility during PR: </w:t>
      </w:r>
      <w:r>
        <w:t>Every semantic PR must declare whether it is patch, minor or major impact and justify the classification.</w:t>
      </w:r>
    </w:p>
    <w:tbl>
      <w:tblPr>
        <w:tblW w:type="auto" w:w="0"/>
        <w:jc w:val="center"/>
        <w:tblLook w:firstColumn="1" w:firstRow="1" w:lastColumn="0" w:lastRow="0" w:noHBand="0" w:noVBand="1" w:val="04A0"/>
      </w:tblPr>
      <w:tblGrid>
        <w:gridCol w:w="10080"/>
      </w:tblGrid>
      <w:tr>
        <w:tc>
          <w:tcPr>
            <w:tcW w:type="dxa" w:w="10080"/>
            <w:shd w:fill="F3F4F6"/>
            <w:tcMar>
              <w:top w:w="90" w:type="dxa"/>
              <w:start w:w="130" w:type="dxa"/>
              <w:bottom w:w="90" w:type="dxa"/>
              <w:end w:w="130" w:type="dxa"/>
            </w:tcMar>
          </w:tcPr>
          <w:p>
            <w:pPr>
              <w:spacing w:after="0"/>
            </w:pPr>
            <w:r>
              <w:rPr>
                <w:rFonts w:ascii="Courier New" w:hAnsi="Courier New"/>
                <w:sz w:val="17"/>
              </w:rPr>
              <w:t>&lt;https://data.chubb.com/ontology/ins/policy/&gt;</w:t>
            </w:r>
            <w:r>
              <w:br/>
            </w:r>
            <w:r>
              <w:rPr>
                <w:rFonts w:ascii="Courier New" w:hAnsi="Courier New"/>
                <w:sz w:val="17"/>
              </w:rPr>
              <w:t xml:space="preserve">    a owl:Ontology ;</w:t>
            </w:r>
            <w:r>
              <w:br/>
            </w:r>
            <w:r>
              <w:rPr>
                <w:rFonts w:ascii="Courier New" w:hAnsi="Courier New"/>
                <w:sz w:val="17"/>
              </w:rPr>
              <w:t xml:space="preserve">    owl:versionIRI &lt;https://data.chubb.com/ontology/ins/policy/1.4.0&gt; ;</w:t>
            </w:r>
            <w:r>
              <w:br/>
            </w:r>
            <w:r>
              <w:rPr>
                <w:rFonts w:ascii="Courier New" w:hAnsi="Courier New"/>
                <w:sz w:val="17"/>
              </w:rPr>
              <w:t xml:space="preserve">    owl:versionInfo "1.4.0" ;</w:t>
            </w:r>
            <w:r>
              <w:br/>
            </w:r>
            <w:r>
              <w:rPr>
                <w:rFonts w:ascii="Courier New" w:hAnsi="Courier New"/>
                <w:sz w:val="17"/>
              </w:rPr>
              <w:t xml:space="preserve">    dct:modified "2026-08-19"^^xsd:date .</w:t>
            </w:r>
            <w:r>
              <w:br/>
            </w:r>
            <w:r>
              <w:rPr>
                <w:rFonts w:ascii="Courier New" w:hAnsi="Courier New"/>
                <w:sz w:val="17"/>
              </w:rPr>
            </w:r>
            <w:r>
              <w:br/>
            </w:r>
            <w:r>
              <w:rPr>
                <w:rFonts w:ascii="Courier New" w:hAnsi="Courier New"/>
                <w:sz w:val="17"/>
              </w:rPr>
              <w:t>policy:LegacyPolicyType</w:t>
            </w:r>
            <w:r>
              <w:br/>
            </w:r>
            <w:r>
              <w:rPr>
                <w:rFonts w:ascii="Courier New" w:hAnsi="Courier New"/>
                <w:sz w:val="17"/>
              </w:rPr>
              <w:t xml:space="preserve">    a owl:Class ;</w:t>
            </w:r>
            <w:r>
              <w:br/>
            </w:r>
            <w:r>
              <w:rPr>
                <w:rFonts w:ascii="Courier New" w:hAnsi="Courier New"/>
                <w:sz w:val="17"/>
              </w:rPr>
              <w:t xml:space="preserve">    owl:deprecated true ;</w:t>
            </w:r>
            <w:r>
              <w:br/>
            </w:r>
            <w:r>
              <w:rPr>
                <w:rFonts w:ascii="Courier New" w:hAnsi="Courier New"/>
                <w:sz w:val="17"/>
              </w:rPr>
              <w:t xml:space="preserve">    dct:isReplacedBy policy:PolicyCategory ;</w:t>
            </w:r>
            <w:r>
              <w:br/>
            </w:r>
            <w:r>
              <w:rPr>
                <w:rFonts w:ascii="Courier New" w:hAnsi="Courier New"/>
                <w:sz w:val="17"/>
              </w:rPr>
              <w:t xml:space="preserve">    skos:changeNote "Deprecated in 1.4.0; use PolicyCategory."@en .</w:t>
            </w:r>
          </w:p>
        </w:tc>
      </w:tr>
    </w:tbl>
    <w:p>
      <w:pPr>
        <w:spacing w:after="20"/>
      </w:pPr>
    </w:p>
    <w:p>
      <w:pPr>
        <w:pStyle w:val="Heading1"/>
      </w:pPr>
      <w:r>
        <w:t>17. Git, Branching and Pull Request Standard</w:t>
      </w:r>
    </w:p>
    <w:p>
      <w:pPr>
        <w:spacing w:after="80"/>
      </w:pPr>
      <w:r>
        <w:rPr>
          <w:b/>
          <w:color w:val="1F4E78"/>
        </w:rPr>
        <w:t xml:space="preserve">GIT-1  MUST - All semantic changes are reviewed: </w:t>
      </w:r>
      <w:r>
        <w:t>No direct commits to the protected release/main branch.</w:t>
      </w:r>
    </w:p>
    <w:p>
      <w:pPr>
        <w:spacing w:after="80"/>
      </w:pPr>
      <w:r>
        <w:rPr>
          <w:b/>
          <w:color w:val="1F4E78"/>
        </w:rPr>
        <w:t xml:space="preserve">GIT-2  MUST - One coherent change per PR: </w:t>
      </w:r>
      <w:r>
        <w:t>Avoid mixing unrelated domain redesigns, vocabulary edits and generated documentation noise in one review.</w:t>
      </w:r>
    </w:p>
    <w:p>
      <w:pPr>
        <w:spacing w:after="80"/>
      </w:pPr>
      <w:r>
        <w:rPr>
          <w:b/>
          <w:color w:val="1F4E78"/>
        </w:rPr>
        <w:t xml:space="preserve">GIT-3  MUST - Issue/decision traceability: </w:t>
      </w:r>
      <w:r>
        <w:t>PRs reference the business requirement, CQ, Jira/issue and architecture decision when applicable.</w:t>
      </w:r>
    </w:p>
    <w:p>
      <w:pPr>
        <w:spacing w:after="80"/>
      </w:pPr>
      <w:r>
        <w:rPr>
          <w:b/>
          <w:color w:val="1F4E78"/>
        </w:rPr>
        <w:t xml:space="preserve">GIT-4  MUST - Generated files are produced by CI: </w:t>
      </w:r>
      <w:r>
        <w:t>Where possible, do not ask reviewers to validate hand-edited generated JSON-LD/docs. CI regenerates and verifies them.</w:t>
      </w:r>
    </w:p>
    <w:p>
      <w:pPr>
        <w:spacing w:after="80"/>
      </w:pPr>
      <w:r>
        <w:rPr>
          <w:b/>
          <w:color w:val="1F4E78"/>
        </w:rPr>
        <w:t xml:space="preserve">GIT-5  MUST - Semantic diff included: </w:t>
      </w:r>
      <w:r>
        <w:t>PR automation should show added/removed classes, properties, axioms, vocabulary concepts, shapes and changed annotations, not only line-based text diff.</w:t>
      </w:r>
    </w:p>
    <w:p>
      <w:pPr>
        <w:spacing w:after="80"/>
      </w:pPr>
      <w:r>
        <w:rPr>
          <w:b/>
          <w:color w:val="1F4E78"/>
        </w:rPr>
        <w:t xml:space="preserve">GIT-6  SHOULD - Branch naming: </w:t>
      </w:r>
      <w:r>
        <w:t>Use feature/&lt;issue&gt;-&lt;module&gt;, fix/&lt;issue&gt;-&lt;module&gt;, or release/&lt;version&gt; according to organizational Git policy.</w:t>
      </w:r>
    </w:p>
    <w:p>
      <w:pPr>
        <w:spacing w:after="80"/>
      </w:pPr>
      <w:r>
        <w:rPr>
          <w:b/>
          <w:color w:val="1F4E78"/>
        </w:rPr>
        <w:t xml:space="preserve">GIT-7  MUST - Required reviewers: </w:t>
      </w:r>
      <w:r>
        <w:t>At minimum: module steward/ontology reviewer plus domain SME for meaning-changing changes. Foundation changes require governance board review.</w:t>
      </w:r>
    </w:p>
    <w:p>
      <w:pPr>
        <w:pStyle w:val="Heading1"/>
      </w:pPr>
      <w:r>
        <w:t>18. Automated Quality Gates and CI/CD</w:t>
      </w:r>
    </w:p>
    <w:p>
      <w:r>
        <w:t>A semantic repository is production code. Every pull request and release must pass automated gates. The exact tools can vary, but the checks are mandatory.</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1800"/>
            <w:shd w:fill="1F4E78"/>
            <w:vAlign w:val="center"/>
            <w:tcMar>
              <w:top w:w="80" w:type="dxa"/>
              <w:start w:w="90" w:type="dxa"/>
              <w:bottom w:w="80" w:type="dxa"/>
              <w:end w:w="90" w:type="dxa"/>
            </w:tcMar>
          </w:tcPr>
          <w:p>
            <w:r>
              <w:rPr>
                <w:b/>
                <w:color w:val="FFFFFF"/>
                <w:sz w:val="18"/>
              </w:rPr>
              <w:t>Gate</w:t>
            </w:r>
          </w:p>
        </w:tc>
        <w:tc>
          <w:tcPr>
            <w:tcW w:type="dxa" w:w="6120"/>
            <w:shd w:fill="1F4E78"/>
            <w:vAlign w:val="center"/>
            <w:tcMar>
              <w:top w:w="80" w:type="dxa"/>
              <w:start w:w="90" w:type="dxa"/>
              <w:bottom w:w="80" w:type="dxa"/>
              <w:end w:w="90" w:type="dxa"/>
            </w:tcMar>
          </w:tcPr>
          <w:p>
            <w:r>
              <w:rPr>
                <w:b/>
                <w:color w:val="FFFFFF"/>
                <w:sz w:val="18"/>
              </w:rPr>
              <w:t>What must be checked</w:t>
            </w:r>
          </w:p>
        </w:tc>
        <w:tc>
          <w:tcPr>
            <w:tcW w:type="dxa" w:w="2160"/>
            <w:shd w:fill="1F4E78"/>
            <w:vAlign w:val="center"/>
            <w:tcMar>
              <w:top w:w="80" w:type="dxa"/>
              <w:start w:w="90" w:type="dxa"/>
              <w:bottom w:w="80" w:type="dxa"/>
              <w:end w:w="90" w:type="dxa"/>
            </w:tcMar>
          </w:tcPr>
          <w:p>
            <w:r>
              <w:rPr>
                <w:b/>
                <w:color w:val="FFFFFF"/>
                <w:sz w:val="18"/>
              </w:rPr>
              <w:t>Failure behavior</w:t>
            </w:r>
          </w:p>
        </w:tc>
      </w:tr>
      <w:tr>
        <w:tc>
          <w:tcPr>
            <w:tcW w:type="dxa" w:w="1800"/>
            <w:vAlign w:val="top"/>
            <w:tcMar>
              <w:top w:w="80" w:type="dxa"/>
              <w:start w:w="90" w:type="dxa"/>
              <w:bottom w:w="80" w:type="dxa"/>
              <w:end w:w="90" w:type="dxa"/>
            </w:tcMar>
          </w:tcPr>
          <w:p>
            <w:r>
              <w:rPr>
                <w:sz w:val="17"/>
              </w:rPr>
              <w:t>1. Parse/syntax</w:t>
            </w:r>
          </w:p>
        </w:tc>
        <w:tc>
          <w:tcPr>
            <w:tcW w:type="dxa" w:w="6120"/>
            <w:vAlign w:val="top"/>
            <w:tcMar>
              <w:top w:w="80" w:type="dxa"/>
              <w:start w:w="90" w:type="dxa"/>
              <w:bottom w:w="80" w:type="dxa"/>
              <w:end w:w="90" w:type="dxa"/>
            </w:tcMar>
          </w:tcPr>
          <w:p>
            <w:r>
              <w:rPr>
                <w:sz w:val="17"/>
              </w:rPr>
              <w:t>Every Turtle, RDF and JSON-LD file parses</w:t>
            </w:r>
          </w:p>
        </w:tc>
        <w:tc>
          <w:tcPr>
            <w:tcW w:type="dxa" w:w="2160"/>
            <w:vAlign w:val="top"/>
            <w:tcMar>
              <w:top w:w="80" w:type="dxa"/>
              <w:start w:w="90" w:type="dxa"/>
              <w:bottom w:w="80" w:type="dxa"/>
              <w:end w:w="90" w:type="dxa"/>
            </w:tcMar>
          </w:tcPr>
          <w:p>
            <w:r>
              <w:rPr>
                <w:sz w:val="17"/>
              </w:rPr>
              <w:t>Block merge</w:t>
            </w:r>
          </w:p>
        </w:tc>
      </w:tr>
      <w:tr>
        <w:tc>
          <w:tcPr>
            <w:tcW w:type="dxa" w:w="1800"/>
            <w:vAlign w:val="top"/>
            <w:tcMar>
              <w:top w:w="80" w:type="dxa"/>
              <w:start w:w="90" w:type="dxa"/>
              <w:bottom w:w="80" w:type="dxa"/>
              <w:end w:w="90" w:type="dxa"/>
            </w:tcMar>
          </w:tcPr>
          <w:p>
            <w:r>
              <w:rPr>
                <w:sz w:val="17"/>
              </w:rPr>
              <w:t>2. Namespace lint</w:t>
            </w:r>
          </w:p>
        </w:tc>
        <w:tc>
          <w:tcPr>
            <w:tcW w:type="dxa" w:w="6120"/>
            <w:vAlign w:val="top"/>
            <w:tcMar>
              <w:top w:w="80" w:type="dxa"/>
              <w:start w:w="90" w:type="dxa"/>
              <w:bottom w:w="80" w:type="dxa"/>
              <w:end w:w="90" w:type="dxa"/>
            </w:tcMar>
          </w:tcPr>
          <w:p>
            <w:r>
              <w:rPr>
                <w:sz w:val="17"/>
              </w:rPr>
              <w:t>IRI host/root/layer/module, trailing slash, no illegal version/environment terms</w:t>
            </w:r>
          </w:p>
        </w:tc>
        <w:tc>
          <w:tcPr>
            <w:tcW w:type="dxa" w:w="2160"/>
            <w:vAlign w:val="top"/>
            <w:tcMar>
              <w:top w:w="80" w:type="dxa"/>
              <w:start w:w="90" w:type="dxa"/>
              <w:bottom w:w="80" w:type="dxa"/>
              <w:end w:w="90" w:type="dxa"/>
            </w:tcMar>
          </w:tcPr>
          <w:p>
            <w:r>
              <w:rPr>
                <w:sz w:val="17"/>
              </w:rPr>
              <w:t>Block merge</w:t>
            </w:r>
          </w:p>
        </w:tc>
      </w:tr>
      <w:tr>
        <w:tc>
          <w:tcPr>
            <w:tcW w:type="dxa" w:w="1800"/>
            <w:vAlign w:val="top"/>
            <w:tcMar>
              <w:top w:w="80" w:type="dxa"/>
              <w:start w:w="90" w:type="dxa"/>
              <w:bottom w:w="80" w:type="dxa"/>
              <w:end w:w="90" w:type="dxa"/>
            </w:tcMar>
          </w:tcPr>
          <w:p>
            <w:r>
              <w:rPr>
                <w:sz w:val="17"/>
              </w:rPr>
              <w:t>3. Prefix lint</w:t>
            </w:r>
          </w:p>
        </w:tc>
        <w:tc>
          <w:tcPr>
            <w:tcW w:type="dxa" w:w="6120"/>
            <w:vAlign w:val="top"/>
            <w:tcMar>
              <w:top w:w="80" w:type="dxa"/>
              <w:start w:w="90" w:type="dxa"/>
              <w:bottom w:w="80" w:type="dxa"/>
              <w:end w:w="90" w:type="dxa"/>
            </w:tcMar>
          </w:tcPr>
          <w:p>
            <w:r>
              <w:rPr>
                <w:sz w:val="17"/>
              </w:rPr>
              <w:t>Registered prefix, no collision, header/base/namespace consistency</w:t>
            </w:r>
          </w:p>
        </w:tc>
        <w:tc>
          <w:tcPr>
            <w:tcW w:type="dxa" w:w="2160"/>
            <w:vAlign w:val="top"/>
            <w:tcMar>
              <w:top w:w="80" w:type="dxa"/>
              <w:start w:w="90" w:type="dxa"/>
              <w:bottom w:w="80" w:type="dxa"/>
              <w:end w:w="90" w:type="dxa"/>
            </w:tcMar>
          </w:tcPr>
          <w:p>
            <w:r>
              <w:rPr>
                <w:sz w:val="17"/>
              </w:rPr>
              <w:t>Block merge</w:t>
            </w:r>
          </w:p>
        </w:tc>
      </w:tr>
      <w:tr>
        <w:tc>
          <w:tcPr>
            <w:tcW w:type="dxa" w:w="1800"/>
            <w:vAlign w:val="top"/>
            <w:tcMar>
              <w:top w:w="80" w:type="dxa"/>
              <w:start w:w="90" w:type="dxa"/>
              <w:bottom w:w="80" w:type="dxa"/>
              <w:end w:w="90" w:type="dxa"/>
            </w:tcMar>
          </w:tcPr>
          <w:p>
            <w:r>
              <w:rPr>
                <w:sz w:val="17"/>
              </w:rPr>
              <w:t>4. Import graph</w:t>
            </w:r>
          </w:p>
        </w:tc>
        <w:tc>
          <w:tcPr>
            <w:tcW w:type="dxa" w:w="6120"/>
            <w:vAlign w:val="top"/>
            <w:tcMar>
              <w:top w:w="80" w:type="dxa"/>
              <w:start w:w="90" w:type="dxa"/>
              <w:bottom w:w="80" w:type="dxa"/>
              <w:end w:w="90" w:type="dxa"/>
            </w:tcMar>
          </w:tcPr>
          <w:p>
            <w:r>
              <w:rPr>
                <w:sz w:val="17"/>
              </w:rPr>
              <w:t>All imports resolve; no circular dependencies; approved external dependencies only</w:t>
            </w:r>
          </w:p>
        </w:tc>
        <w:tc>
          <w:tcPr>
            <w:tcW w:type="dxa" w:w="2160"/>
            <w:vAlign w:val="top"/>
            <w:tcMar>
              <w:top w:w="80" w:type="dxa"/>
              <w:start w:w="90" w:type="dxa"/>
              <w:bottom w:w="80" w:type="dxa"/>
              <w:end w:w="90" w:type="dxa"/>
            </w:tcMar>
          </w:tcPr>
          <w:p>
            <w:r>
              <w:rPr>
                <w:sz w:val="17"/>
              </w:rPr>
              <w:t>Block merge</w:t>
            </w:r>
          </w:p>
        </w:tc>
      </w:tr>
      <w:tr>
        <w:tc>
          <w:tcPr>
            <w:tcW w:type="dxa" w:w="1800"/>
            <w:vAlign w:val="top"/>
            <w:tcMar>
              <w:top w:w="80" w:type="dxa"/>
              <w:start w:w="90" w:type="dxa"/>
              <w:bottom w:w="80" w:type="dxa"/>
              <w:end w:w="90" w:type="dxa"/>
            </w:tcMar>
          </w:tcPr>
          <w:p>
            <w:r>
              <w:rPr>
                <w:sz w:val="17"/>
              </w:rPr>
              <w:t>5. OWL profile</w:t>
            </w:r>
          </w:p>
        </w:tc>
        <w:tc>
          <w:tcPr>
            <w:tcW w:type="dxa" w:w="6120"/>
            <w:vAlign w:val="top"/>
            <w:tcMar>
              <w:top w:w="80" w:type="dxa"/>
              <w:start w:w="90" w:type="dxa"/>
              <w:bottom w:w="80" w:type="dxa"/>
              <w:end w:w="90" w:type="dxa"/>
            </w:tcMar>
          </w:tcPr>
          <w:p>
            <w:r>
              <w:rPr>
                <w:sz w:val="17"/>
              </w:rPr>
              <w:t>Ontology stays inside approved OWL profile</w:t>
            </w:r>
          </w:p>
        </w:tc>
        <w:tc>
          <w:tcPr>
            <w:tcW w:type="dxa" w:w="2160"/>
            <w:vAlign w:val="top"/>
            <w:tcMar>
              <w:top w:w="80" w:type="dxa"/>
              <w:start w:w="90" w:type="dxa"/>
              <w:bottom w:w="80" w:type="dxa"/>
              <w:end w:w="90" w:type="dxa"/>
            </w:tcMar>
          </w:tcPr>
          <w:p>
            <w:r>
              <w:rPr>
                <w:sz w:val="17"/>
              </w:rPr>
              <w:t>Block merge or explicit waiver</w:t>
            </w:r>
          </w:p>
        </w:tc>
      </w:tr>
      <w:tr>
        <w:tc>
          <w:tcPr>
            <w:tcW w:type="dxa" w:w="1800"/>
            <w:vAlign w:val="top"/>
            <w:tcMar>
              <w:top w:w="80" w:type="dxa"/>
              <w:start w:w="90" w:type="dxa"/>
              <w:bottom w:w="80" w:type="dxa"/>
              <w:end w:w="90" w:type="dxa"/>
            </w:tcMar>
          </w:tcPr>
          <w:p>
            <w:r>
              <w:rPr>
                <w:sz w:val="17"/>
              </w:rPr>
              <w:t>6. Reasoning</w:t>
            </w:r>
          </w:p>
        </w:tc>
        <w:tc>
          <w:tcPr>
            <w:tcW w:type="dxa" w:w="6120"/>
            <w:vAlign w:val="top"/>
            <w:tcMar>
              <w:top w:w="80" w:type="dxa"/>
              <w:start w:w="90" w:type="dxa"/>
              <w:bottom w:w="80" w:type="dxa"/>
              <w:end w:w="90" w:type="dxa"/>
            </w:tcMar>
          </w:tcPr>
          <w:p>
            <w:r>
              <w:rPr>
                <w:sz w:val="17"/>
              </w:rPr>
              <w:t>Import closure consistent; intended classes satisfiable</w:t>
            </w:r>
          </w:p>
        </w:tc>
        <w:tc>
          <w:tcPr>
            <w:tcW w:type="dxa" w:w="2160"/>
            <w:vAlign w:val="top"/>
            <w:tcMar>
              <w:top w:w="80" w:type="dxa"/>
              <w:start w:w="90" w:type="dxa"/>
              <w:bottom w:w="80" w:type="dxa"/>
              <w:end w:w="90" w:type="dxa"/>
            </w:tcMar>
          </w:tcPr>
          <w:p>
            <w:r>
              <w:rPr>
                <w:sz w:val="17"/>
              </w:rPr>
              <w:t>Block merge</w:t>
            </w:r>
          </w:p>
        </w:tc>
      </w:tr>
      <w:tr>
        <w:tc>
          <w:tcPr>
            <w:tcW w:type="dxa" w:w="1800"/>
            <w:vAlign w:val="top"/>
            <w:tcMar>
              <w:top w:w="80" w:type="dxa"/>
              <w:start w:w="90" w:type="dxa"/>
              <w:bottom w:w="80" w:type="dxa"/>
              <w:end w:w="90" w:type="dxa"/>
            </w:tcMar>
          </w:tcPr>
          <w:p>
            <w:r>
              <w:rPr>
                <w:sz w:val="17"/>
              </w:rPr>
              <w:t>7. SHACL meta-validation</w:t>
            </w:r>
          </w:p>
        </w:tc>
        <w:tc>
          <w:tcPr>
            <w:tcW w:type="dxa" w:w="6120"/>
            <w:vAlign w:val="top"/>
            <w:tcMar>
              <w:top w:w="80" w:type="dxa"/>
              <w:start w:w="90" w:type="dxa"/>
              <w:bottom w:w="80" w:type="dxa"/>
              <w:end w:w="90" w:type="dxa"/>
            </w:tcMar>
          </w:tcPr>
          <w:p>
            <w:r>
              <w:rPr>
                <w:sz w:val="17"/>
              </w:rPr>
              <w:t>Shapes graph is structurally valid</w:t>
            </w:r>
          </w:p>
        </w:tc>
        <w:tc>
          <w:tcPr>
            <w:tcW w:type="dxa" w:w="2160"/>
            <w:vAlign w:val="top"/>
            <w:tcMar>
              <w:top w:w="80" w:type="dxa"/>
              <w:start w:w="90" w:type="dxa"/>
              <w:bottom w:w="80" w:type="dxa"/>
              <w:end w:w="90" w:type="dxa"/>
            </w:tcMar>
          </w:tcPr>
          <w:p>
            <w:r>
              <w:rPr>
                <w:sz w:val="17"/>
              </w:rPr>
              <w:t>Block merge</w:t>
            </w:r>
          </w:p>
        </w:tc>
      </w:tr>
      <w:tr>
        <w:tc>
          <w:tcPr>
            <w:tcW w:type="dxa" w:w="1800"/>
            <w:vAlign w:val="top"/>
            <w:tcMar>
              <w:top w:w="80" w:type="dxa"/>
              <w:start w:w="90" w:type="dxa"/>
              <w:bottom w:w="80" w:type="dxa"/>
              <w:end w:w="90" w:type="dxa"/>
            </w:tcMar>
          </w:tcPr>
          <w:p>
            <w:r>
              <w:rPr>
                <w:sz w:val="17"/>
              </w:rPr>
              <w:t>8. SHACL fixtures</w:t>
            </w:r>
          </w:p>
        </w:tc>
        <w:tc>
          <w:tcPr>
            <w:tcW w:type="dxa" w:w="6120"/>
            <w:vAlign w:val="top"/>
            <w:tcMar>
              <w:top w:w="80" w:type="dxa"/>
              <w:start w:w="90" w:type="dxa"/>
              <w:bottom w:w="80" w:type="dxa"/>
              <w:end w:w="90" w:type="dxa"/>
            </w:tcMar>
          </w:tcPr>
          <w:p>
            <w:r>
              <w:rPr>
                <w:sz w:val="17"/>
              </w:rPr>
              <w:t>All valid samples conform; negative samples fail expected constraints</w:t>
            </w:r>
          </w:p>
        </w:tc>
        <w:tc>
          <w:tcPr>
            <w:tcW w:type="dxa" w:w="2160"/>
            <w:vAlign w:val="top"/>
            <w:tcMar>
              <w:top w:w="80" w:type="dxa"/>
              <w:start w:w="90" w:type="dxa"/>
              <w:bottom w:w="80" w:type="dxa"/>
              <w:end w:w="90" w:type="dxa"/>
            </w:tcMar>
          </w:tcPr>
          <w:p>
            <w:r>
              <w:rPr>
                <w:sz w:val="17"/>
              </w:rPr>
              <w:t>Block merge</w:t>
            </w:r>
          </w:p>
        </w:tc>
      </w:tr>
      <w:tr>
        <w:tc>
          <w:tcPr>
            <w:tcW w:type="dxa" w:w="1800"/>
            <w:vAlign w:val="top"/>
            <w:tcMar>
              <w:top w:w="80" w:type="dxa"/>
              <w:start w:w="90" w:type="dxa"/>
              <w:bottom w:w="80" w:type="dxa"/>
              <w:end w:w="90" w:type="dxa"/>
            </w:tcMar>
          </w:tcPr>
          <w:p>
            <w:r>
              <w:rPr>
                <w:sz w:val="17"/>
              </w:rPr>
              <w:t>9. SKOS integrity</w:t>
            </w:r>
          </w:p>
        </w:tc>
        <w:tc>
          <w:tcPr>
            <w:tcW w:type="dxa" w:w="6120"/>
            <w:vAlign w:val="top"/>
            <w:tcMar>
              <w:top w:w="80" w:type="dxa"/>
              <w:start w:w="90" w:type="dxa"/>
              <w:bottom w:w="80" w:type="dxa"/>
              <w:end w:w="90" w:type="dxa"/>
            </w:tcMar>
          </w:tcPr>
          <w:p>
            <w:r>
              <w:rPr>
                <w:sz w:val="17"/>
              </w:rPr>
              <w:t>Required labels/scheme membership/notation; label conflicts and invalid hierarchy checks</w:t>
            </w:r>
          </w:p>
        </w:tc>
        <w:tc>
          <w:tcPr>
            <w:tcW w:type="dxa" w:w="2160"/>
            <w:vAlign w:val="top"/>
            <w:tcMar>
              <w:top w:w="80" w:type="dxa"/>
              <w:start w:w="90" w:type="dxa"/>
              <w:bottom w:w="80" w:type="dxa"/>
              <w:end w:w="90" w:type="dxa"/>
            </w:tcMar>
          </w:tcPr>
          <w:p>
            <w:r>
              <w:rPr>
                <w:sz w:val="17"/>
              </w:rPr>
              <w:t>Block merge</w:t>
            </w:r>
          </w:p>
        </w:tc>
      </w:tr>
      <w:tr>
        <w:tc>
          <w:tcPr>
            <w:tcW w:type="dxa" w:w="1800"/>
            <w:vAlign w:val="top"/>
            <w:tcMar>
              <w:top w:w="80" w:type="dxa"/>
              <w:start w:w="90" w:type="dxa"/>
              <w:bottom w:w="80" w:type="dxa"/>
              <w:end w:w="90" w:type="dxa"/>
            </w:tcMar>
          </w:tcPr>
          <w:p>
            <w:r>
              <w:rPr>
                <w:sz w:val="17"/>
              </w:rPr>
              <w:t>10. CQ regression</w:t>
            </w:r>
          </w:p>
        </w:tc>
        <w:tc>
          <w:tcPr>
            <w:tcW w:type="dxa" w:w="6120"/>
            <w:vAlign w:val="top"/>
            <w:tcMar>
              <w:top w:w="80" w:type="dxa"/>
              <w:start w:w="90" w:type="dxa"/>
              <w:bottom w:w="80" w:type="dxa"/>
              <w:end w:w="90" w:type="dxa"/>
            </w:tcMar>
          </w:tcPr>
          <w:p>
            <w:r>
              <w:rPr>
                <w:sz w:val="17"/>
              </w:rPr>
              <w:t>Accepted competency-question queries return expected results</w:t>
            </w:r>
          </w:p>
        </w:tc>
        <w:tc>
          <w:tcPr>
            <w:tcW w:type="dxa" w:w="2160"/>
            <w:vAlign w:val="top"/>
            <w:tcMar>
              <w:top w:w="80" w:type="dxa"/>
              <w:start w:w="90" w:type="dxa"/>
              <w:bottom w:w="80" w:type="dxa"/>
              <w:end w:w="90" w:type="dxa"/>
            </w:tcMar>
          </w:tcPr>
          <w:p>
            <w:r>
              <w:rPr>
                <w:sz w:val="17"/>
              </w:rPr>
              <w:t>Block merge</w:t>
            </w:r>
          </w:p>
        </w:tc>
      </w:tr>
      <w:tr>
        <w:tc>
          <w:tcPr>
            <w:tcW w:type="dxa" w:w="1800"/>
            <w:vAlign w:val="top"/>
            <w:tcMar>
              <w:top w:w="80" w:type="dxa"/>
              <w:start w:w="90" w:type="dxa"/>
              <w:bottom w:w="80" w:type="dxa"/>
              <w:end w:w="90" w:type="dxa"/>
            </w:tcMar>
          </w:tcPr>
          <w:p>
            <w:r>
              <w:rPr>
                <w:sz w:val="17"/>
              </w:rPr>
              <w:t>11. Documentation coverage</w:t>
            </w:r>
          </w:p>
        </w:tc>
        <w:tc>
          <w:tcPr>
            <w:tcW w:type="dxa" w:w="6120"/>
            <w:vAlign w:val="top"/>
            <w:tcMar>
              <w:top w:w="80" w:type="dxa"/>
              <w:start w:w="90" w:type="dxa"/>
              <w:bottom w:w="80" w:type="dxa"/>
              <w:end w:w="90" w:type="dxa"/>
            </w:tcMar>
          </w:tcPr>
          <w:p>
            <w:r>
              <w:rPr>
                <w:sz w:val="17"/>
              </w:rPr>
              <w:t>Required labels/definitions/version/provenance present</w:t>
            </w:r>
          </w:p>
        </w:tc>
        <w:tc>
          <w:tcPr>
            <w:tcW w:type="dxa" w:w="2160"/>
            <w:vAlign w:val="top"/>
            <w:tcMar>
              <w:top w:w="80" w:type="dxa"/>
              <w:start w:w="90" w:type="dxa"/>
              <w:bottom w:w="80" w:type="dxa"/>
              <w:end w:w="90" w:type="dxa"/>
            </w:tcMar>
          </w:tcPr>
          <w:p>
            <w:r>
              <w:rPr>
                <w:sz w:val="17"/>
              </w:rPr>
              <w:t>Block merge or quality threshold</w:t>
            </w:r>
          </w:p>
        </w:tc>
      </w:tr>
      <w:tr>
        <w:tc>
          <w:tcPr>
            <w:tcW w:type="dxa" w:w="1800"/>
            <w:vAlign w:val="top"/>
            <w:tcMar>
              <w:top w:w="80" w:type="dxa"/>
              <w:start w:w="90" w:type="dxa"/>
              <w:bottom w:w="80" w:type="dxa"/>
              <w:end w:w="90" w:type="dxa"/>
            </w:tcMar>
          </w:tcPr>
          <w:p>
            <w:r>
              <w:rPr>
                <w:sz w:val="17"/>
              </w:rPr>
              <w:t>12. External namespace protection</w:t>
            </w:r>
          </w:p>
        </w:tc>
        <w:tc>
          <w:tcPr>
            <w:tcW w:type="dxa" w:w="6120"/>
            <w:vAlign w:val="top"/>
            <w:tcMar>
              <w:top w:w="80" w:type="dxa"/>
              <w:start w:w="90" w:type="dxa"/>
              <w:bottom w:w="80" w:type="dxa"/>
              <w:end w:w="90" w:type="dxa"/>
            </w:tcMar>
          </w:tcPr>
          <w:p>
            <w:r>
              <w:rPr>
                <w:sz w:val="17"/>
              </w:rPr>
              <w:t>No newly minted terms inside unowned/external namespaces</w:t>
            </w:r>
          </w:p>
        </w:tc>
        <w:tc>
          <w:tcPr>
            <w:tcW w:type="dxa" w:w="2160"/>
            <w:vAlign w:val="top"/>
            <w:tcMar>
              <w:top w:w="80" w:type="dxa"/>
              <w:start w:w="90" w:type="dxa"/>
              <w:bottom w:w="80" w:type="dxa"/>
              <w:end w:w="90" w:type="dxa"/>
            </w:tcMar>
          </w:tcPr>
          <w:p>
            <w:r>
              <w:rPr>
                <w:sz w:val="17"/>
              </w:rPr>
              <w:t>Block merge</w:t>
            </w:r>
          </w:p>
        </w:tc>
      </w:tr>
      <w:tr>
        <w:tc>
          <w:tcPr>
            <w:tcW w:type="dxa" w:w="1800"/>
            <w:vAlign w:val="top"/>
            <w:tcMar>
              <w:top w:w="80" w:type="dxa"/>
              <w:start w:w="90" w:type="dxa"/>
              <w:bottom w:w="80" w:type="dxa"/>
              <w:end w:w="90" w:type="dxa"/>
            </w:tcMar>
          </w:tcPr>
          <w:p>
            <w:r>
              <w:rPr>
                <w:sz w:val="17"/>
              </w:rPr>
              <w:t>13. Semantic diff</w:t>
            </w:r>
          </w:p>
        </w:tc>
        <w:tc>
          <w:tcPr>
            <w:tcW w:type="dxa" w:w="6120"/>
            <w:vAlign w:val="top"/>
            <w:tcMar>
              <w:top w:w="80" w:type="dxa"/>
              <w:start w:w="90" w:type="dxa"/>
              <w:bottom w:w="80" w:type="dxa"/>
              <w:end w:w="90" w:type="dxa"/>
            </w:tcMar>
          </w:tcPr>
          <w:p>
            <w:r>
              <w:rPr>
                <w:sz w:val="17"/>
              </w:rPr>
              <w:t>Classify breaking/additive/editorial impact</w:t>
            </w:r>
          </w:p>
        </w:tc>
        <w:tc>
          <w:tcPr>
            <w:tcW w:type="dxa" w:w="2160"/>
            <w:vAlign w:val="top"/>
            <w:tcMar>
              <w:top w:w="80" w:type="dxa"/>
              <w:start w:w="90" w:type="dxa"/>
              <w:bottom w:w="80" w:type="dxa"/>
              <w:end w:w="90" w:type="dxa"/>
            </w:tcMar>
          </w:tcPr>
          <w:p>
            <w:r>
              <w:rPr>
                <w:sz w:val="17"/>
              </w:rPr>
              <w:t>Require reviewer acknowledgment</w:t>
            </w:r>
          </w:p>
        </w:tc>
      </w:tr>
      <w:tr>
        <w:tc>
          <w:tcPr>
            <w:tcW w:type="dxa" w:w="1800"/>
            <w:vAlign w:val="top"/>
            <w:tcMar>
              <w:top w:w="80" w:type="dxa"/>
              <w:start w:w="90" w:type="dxa"/>
              <w:bottom w:w="80" w:type="dxa"/>
              <w:end w:w="90" w:type="dxa"/>
            </w:tcMar>
          </w:tcPr>
          <w:p>
            <w:r>
              <w:rPr>
                <w:sz w:val="17"/>
              </w:rPr>
              <w:t>14. Generate projections</w:t>
            </w:r>
          </w:p>
        </w:tc>
        <w:tc>
          <w:tcPr>
            <w:tcW w:type="dxa" w:w="6120"/>
            <w:vAlign w:val="top"/>
            <w:tcMar>
              <w:top w:w="80" w:type="dxa"/>
              <w:start w:w="90" w:type="dxa"/>
              <w:bottom w:w="80" w:type="dxa"/>
              <w:end w:w="90" w:type="dxa"/>
            </w:tcMar>
          </w:tcPr>
          <w:p>
            <w:r>
              <w:rPr>
                <w:sz w:val="17"/>
              </w:rPr>
              <w:t>JSON-LD context, docs, diagrams, distribution files regenerated</w:t>
            </w:r>
          </w:p>
        </w:tc>
        <w:tc>
          <w:tcPr>
            <w:tcW w:type="dxa" w:w="2160"/>
            <w:vAlign w:val="top"/>
            <w:tcMar>
              <w:top w:w="80" w:type="dxa"/>
              <w:start w:w="90" w:type="dxa"/>
              <w:bottom w:w="80" w:type="dxa"/>
              <w:end w:w="90" w:type="dxa"/>
            </w:tcMar>
          </w:tcPr>
          <w:p>
            <w:r>
              <w:rPr>
                <w:sz w:val="17"/>
              </w:rPr>
              <w:t>Block release on drift</w:t>
            </w:r>
          </w:p>
        </w:tc>
      </w:tr>
      <w:tr>
        <w:tc>
          <w:tcPr>
            <w:tcW w:type="dxa" w:w="1800"/>
            <w:vAlign w:val="top"/>
            <w:tcMar>
              <w:top w:w="80" w:type="dxa"/>
              <w:start w:w="90" w:type="dxa"/>
              <w:bottom w:w="80" w:type="dxa"/>
              <w:end w:w="90" w:type="dxa"/>
            </w:tcMar>
          </w:tcPr>
          <w:p>
            <w:r>
              <w:rPr>
                <w:sz w:val="17"/>
              </w:rPr>
              <w:t>15. Package integrity</w:t>
            </w:r>
          </w:p>
        </w:tc>
        <w:tc>
          <w:tcPr>
            <w:tcW w:type="dxa" w:w="6120"/>
            <w:vAlign w:val="top"/>
            <w:tcMar>
              <w:top w:w="80" w:type="dxa"/>
              <w:start w:w="90" w:type="dxa"/>
              <w:bottom w:w="80" w:type="dxa"/>
              <w:end w:w="90" w:type="dxa"/>
            </w:tcMar>
          </w:tcPr>
          <w:p>
            <w:r>
              <w:rPr>
                <w:sz w:val="17"/>
              </w:rPr>
              <w:t>Release manifest/checksum/version metadata complete</w:t>
            </w:r>
          </w:p>
        </w:tc>
        <w:tc>
          <w:tcPr>
            <w:tcW w:type="dxa" w:w="2160"/>
            <w:vAlign w:val="top"/>
            <w:tcMar>
              <w:top w:w="80" w:type="dxa"/>
              <w:start w:w="90" w:type="dxa"/>
              <w:bottom w:w="80" w:type="dxa"/>
              <w:end w:w="90" w:type="dxa"/>
            </w:tcMar>
          </w:tcPr>
          <w:p>
            <w:r>
              <w:rPr>
                <w:sz w:val="17"/>
              </w:rPr>
              <w:t>Block release</w:t>
            </w:r>
          </w:p>
        </w:tc>
      </w:tr>
    </w:tbl>
    <w:p>
      <w:pPr>
        <w:spacing w:after="20"/>
      </w:pPr>
    </w:p>
    <w:p>
      <w:r>
        <w:rPr>
          <w:b/>
        </w:rPr>
        <w:t xml:space="preserve">Approved toolchain examples: </w:t>
      </w:r>
      <w:r>
        <w:t>Apache Jena/RDFLib for parsing and SPARQL, OWLAPI/ROBOT with a suitable reasoner for OWL checks, pySHACL or a governed SHACL engine for validation, SKOS-specific SPARQL lint rules, and custom namespace/prefix lint scripts. Tool choice is implementation detail; the gates above are the organizational contract.</w:t>
      </w:r>
    </w:p>
    <w:p>
      <w:pPr>
        <w:pStyle w:val="Heading1"/>
      </w:pPr>
      <w:r>
        <w:t>19. Release and Publishing Standard</w:t>
      </w:r>
    </w:p>
    <w:p>
      <w:pPr>
        <w:spacing w:after="80"/>
      </w:pPr>
      <w:r>
        <w:rPr>
          <w:b/>
          <w:color w:val="1F4E78"/>
        </w:rPr>
        <w:t xml:space="preserve">REL-1  MUST - Release an immutable package: </w:t>
      </w:r>
      <w:r>
        <w:t>dist/&lt;module&gt;/&lt;version&gt;/ contains canonical Turtle, dependency manifest, generated projections, changelog and validation report.</w:t>
      </w:r>
    </w:p>
    <w:p>
      <w:pPr>
        <w:spacing w:after="80"/>
      </w:pPr>
      <w:r>
        <w:rPr>
          <w:b/>
          <w:color w:val="1F4E78"/>
        </w:rPr>
        <w:t xml:space="preserve">REL-2  MUST - Publish current and versioned IRIs: </w:t>
      </w:r>
      <w:r>
        <w:t>The ontology namespace resolves to the current approved version; the version IRI resolves to that immutable snapshot.</w:t>
      </w:r>
    </w:p>
    <w:p>
      <w:pPr>
        <w:spacing w:after="80"/>
      </w:pPr>
      <w:r>
        <w:rPr>
          <w:b/>
          <w:color w:val="1F4E78"/>
        </w:rPr>
        <w:t xml:space="preserve">REL-3  MUST - Content negotiation or equivalent resolver: </w:t>
      </w:r>
      <w:r>
        <w:t>Where platform capabilities allow, publish Turtle/RDF and human-readable documentation from the same canonical namespace.</w:t>
      </w:r>
    </w:p>
    <w:p>
      <w:pPr>
        <w:spacing w:after="80"/>
      </w:pPr>
      <w:r>
        <w:rPr>
          <w:b/>
          <w:color w:val="1F4E78"/>
        </w:rPr>
        <w:t xml:space="preserve">REL-4  MUST - Release metadata: </w:t>
      </w:r>
      <w:r>
        <w:t>Include module name, owner, version, release date, Git commit/tag, import versions, compatibility classification and validation status.</w:t>
      </w:r>
    </w:p>
    <w:p>
      <w:pPr>
        <w:spacing w:after="80"/>
      </w:pPr>
      <w:r>
        <w:rPr>
          <w:b/>
          <w:color w:val="1F4E78"/>
        </w:rPr>
        <w:t xml:space="preserve">REL-5  MUST - No release from dirty workspace: </w:t>
      </w:r>
      <w:r>
        <w:t>All release artifacts must be reproducibly generated from a reviewed tagged commit.</w:t>
      </w:r>
    </w:p>
    <w:p>
      <w:pPr>
        <w:spacing w:after="80"/>
      </w:pPr>
      <w:r>
        <w:rPr>
          <w:b/>
          <w:color w:val="1F4E78"/>
        </w:rPr>
        <w:t xml:space="preserve">REL-6  SHOULD - Maintain enterprise catalog: </w:t>
      </w:r>
      <w:r>
        <w:t>Publish module namespace, owner, purpose, current version, dependencies and status in a searchable ontology registry/catalog.</w:t>
      </w:r>
    </w:p>
    <w:p>
      <w:pPr>
        <w:pStyle w:val="Heading1"/>
      </w:pPr>
      <w:r>
        <w:t>20. Security, Privacy and Data Handling</w:t>
      </w:r>
    </w:p>
    <w:p>
      <w:pPr>
        <w:spacing w:after="80"/>
      </w:pPr>
      <w:r>
        <w:rPr>
          <w:b/>
          <w:color w:val="1F4E78"/>
        </w:rPr>
        <w:t xml:space="preserve">SEC-1  MUST - No secrets in RDF repositories: </w:t>
      </w:r>
      <w:r>
        <w:t>API keys, passwords, tokens, private keys and connection strings are prohibited in ontology, shapes, samples and mappings.</w:t>
      </w:r>
    </w:p>
    <w:p>
      <w:pPr>
        <w:spacing w:after="80"/>
      </w:pPr>
      <w:r>
        <w:rPr>
          <w:b/>
          <w:color w:val="1F4E78"/>
        </w:rPr>
        <w:t xml:space="preserve">SEC-2  MUST - No production personal data in fixtures: </w:t>
      </w:r>
      <w:r>
        <w:t>Use synthetic/de-identified data unless explicitly approved under organizational data-handling policy.</w:t>
      </w:r>
    </w:p>
    <w:p>
      <w:pPr>
        <w:spacing w:after="80"/>
      </w:pPr>
      <w:r>
        <w:rPr>
          <w:b/>
          <w:color w:val="1F4E78"/>
        </w:rPr>
        <w:t xml:space="preserve">SEC-3  MUST - Classify semantic assets: </w:t>
      </w:r>
      <w:r>
        <w:t>Ontology modules and vocabularies should declare appropriate internal/public/restricted classification and ownership.</w:t>
      </w:r>
    </w:p>
    <w:p>
      <w:pPr>
        <w:spacing w:after="80"/>
      </w:pPr>
      <w:r>
        <w:rPr>
          <w:b/>
          <w:color w:val="1F4E78"/>
        </w:rPr>
        <w:t xml:space="preserve">SEC-4  MUST - Separate semantic identity from access control: </w:t>
      </w:r>
      <w:r>
        <w:t>A stable IRI identifies a concept/resource; authorization is handled by platform policy, not by changing semantic identity per user/environment.</w:t>
      </w:r>
    </w:p>
    <w:p>
      <w:pPr>
        <w:spacing w:after="80"/>
      </w:pPr>
      <w:r>
        <w:rPr>
          <w:b/>
          <w:color w:val="1F4E78"/>
        </w:rPr>
        <w:t xml:space="preserve">SEC-5  SHOULD - Capture provenance for sensitive transformations: </w:t>
      </w:r>
      <w:r>
        <w:t>Mappings and derived knowledge should record source and transformation provenance where auditability is required.</w:t>
      </w:r>
    </w:p>
    <w:p>
      <w:pPr>
        <w:spacing w:after="80"/>
      </w:pPr>
      <w:r>
        <w:rPr>
          <w:b/>
          <w:color w:val="1F4E78"/>
        </w:rPr>
        <w:t xml:space="preserve">SEC-6  MUST - Review external publication: </w:t>
      </w:r>
      <w:r>
        <w:t>Any ontology or vocabulary exposed outside the organization must pass IP, confidentiality, license and security review.</w:t>
      </w:r>
    </w:p>
    <w:p>
      <w:pPr>
        <w:pStyle w:val="Heading1"/>
      </w:pPr>
      <w:r>
        <w:t>21. Governance Roles and Decision Rights</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376"/>
            <w:shd w:fill="1F4E78"/>
            <w:vAlign w:val="center"/>
            <w:tcMar>
              <w:top w:w="80" w:type="dxa"/>
              <w:start w:w="90" w:type="dxa"/>
              <w:bottom w:w="80" w:type="dxa"/>
              <w:end w:w="90" w:type="dxa"/>
            </w:tcMar>
          </w:tcPr>
          <w:p>
            <w:r>
              <w:rPr>
                <w:b/>
                <w:color w:val="FFFFFF"/>
                <w:sz w:val="18"/>
              </w:rPr>
              <w:t>Role</w:t>
            </w:r>
          </w:p>
        </w:tc>
        <w:tc>
          <w:tcPr>
            <w:tcW w:type="dxa" w:w="7848"/>
            <w:shd w:fill="1F4E78"/>
            <w:vAlign w:val="center"/>
            <w:tcMar>
              <w:top w:w="80" w:type="dxa"/>
              <w:start w:w="90" w:type="dxa"/>
              <w:bottom w:w="80" w:type="dxa"/>
              <w:end w:w="90" w:type="dxa"/>
            </w:tcMar>
          </w:tcPr>
          <w:p>
            <w:r>
              <w:rPr>
                <w:b/>
                <w:color w:val="FFFFFF"/>
                <w:sz w:val="18"/>
              </w:rPr>
              <w:t>Primary accountability</w:t>
            </w:r>
          </w:p>
        </w:tc>
      </w:tr>
      <w:tr>
        <w:tc>
          <w:tcPr>
            <w:tcW w:type="dxa" w:w="2376"/>
            <w:vAlign w:val="top"/>
            <w:tcMar>
              <w:top w:w="80" w:type="dxa"/>
              <w:start w:w="90" w:type="dxa"/>
              <w:bottom w:w="80" w:type="dxa"/>
              <w:end w:w="90" w:type="dxa"/>
            </w:tcMar>
          </w:tcPr>
          <w:p>
            <w:r>
              <w:rPr>
                <w:sz w:val="17"/>
              </w:rPr>
              <w:t>Enterprise Ontology Architect</w:t>
            </w:r>
          </w:p>
        </w:tc>
        <w:tc>
          <w:tcPr>
            <w:tcW w:type="dxa" w:w="7848"/>
            <w:vAlign w:val="top"/>
            <w:tcMar>
              <w:top w:w="80" w:type="dxa"/>
              <w:start w:w="90" w:type="dxa"/>
              <w:bottom w:w="80" w:type="dxa"/>
              <w:end w:w="90" w:type="dxa"/>
            </w:tcMar>
          </w:tcPr>
          <w:p>
            <w:r>
              <w:rPr>
                <w:sz w:val="17"/>
              </w:rPr>
              <w:t>Owns enterprise modeling principles, namespace architecture, module boundaries, profile choices and cross-domain design.</w:t>
            </w:r>
          </w:p>
        </w:tc>
      </w:tr>
      <w:tr>
        <w:tc>
          <w:tcPr>
            <w:tcW w:type="dxa" w:w="2376"/>
            <w:vAlign w:val="top"/>
            <w:tcMar>
              <w:top w:w="80" w:type="dxa"/>
              <w:start w:w="90" w:type="dxa"/>
              <w:bottom w:w="80" w:type="dxa"/>
              <w:end w:w="90" w:type="dxa"/>
            </w:tcMar>
          </w:tcPr>
          <w:p>
            <w:r>
              <w:rPr>
                <w:sz w:val="17"/>
              </w:rPr>
              <w:t>Ontology Governance Board</w:t>
            </w:r>
          </w:p>
        </w:tc>
        <w:tc>
          <w:tcPr>
            <w:tcW w:type="dxa" w:w="7848"/>
            <w:vAlign w:val="top"/>
            <w:tcMar>
              <w:top w:w="80" w:type="dxa"/>
              <w:start w:w="90" w:type="dxa"/>
              <w:bottom w:w="80" w:type="dxa"/>
              <w:end w:w="90" w:type="dxa"/>
            </w:tcMar>
          </w:tcPr>
          <w:p>
            <w:r>
              <w:rPr>
                <w:sz w:val="17"/>
              </w:rPr>
              <w:t>Approves foundation changes, namespace exceptions, breaking changes and enterprise-wide promoted concepts.</w:t>
            </w:r>
          </w:p>
        </w:tc>
      </w:tr>
      <w:tr>
        <w:tc>
          <w:tcPr>
            <w:tcW w:type="dxa" w:w="2376"/>
            <w:vAlign w:val="top"/>
            <w:tcMar>
              <w:top w:w="80" w:type="dxa"/>
              <w:start w:w="90" w:type="dxa"/>
              <w:bottom w:w="80" w:type="dxa"/>
              <w:end w:w="90" w:type="dxa"/>
            </w:tcMar>
          </w:tcPr>
          <w:p>
            <w:r>
              <w:rPr>
                <w:sz w:val="17"/>
              </w:rPr>
              <w:t>Module Steward</w:t>
            </w:r>
          </w:p>
        </w:tc>
        <w:tc>
          <w:tcPr>
            <w:tcW w:type="dxa" w:w="7848"/>
            <w:vAlign w:val="top"/>
            <w:tcMar>
              <w:top w:w="80" w:type="dxa"/>
              <w:start w:w="90" w:type="dxa"/>
              <w:bottom w:w="80" w:type="dxa"/>
              <w:end w:w="90" w:type="dxa"/>
            </w:tcMar>
          </w:tcPr>
          <w:p>
            <w:r>
              <w:rPr>
                <w:sz w:val="17"/>
              </w:rPr>
              <w:t>Owns a module namespace, backlog, releases, deprecations and review quality.</w:t>
            </w:r>
          </w:p>
        </w:tc>
      </w:tr>
      <w:tr>
        <w:tc>
          <w:tcPr>
            <w:tcW w:type="dxa" w:w="2376"/>
            <w:vAlign w:val="top"/>
            <w:tcMar>
              <w:top w:w="80" w:type="dxa"/>
              <w:start w:w="90" w:type="dxa"/>
              <w:bottom w:w="80" w:type="dxa"/>
              <w:end w:w="90" w:type="dxa"/>
            </w:tcMar>
          </w:tcPr>
          <w:p>
            <w:r>
              <w:rPr>
                <w:sz w:val="17"/>
              </w:rPr>
              <w:t>Ontology Engineer</w:t>
            </w:r>
          </w:p>
        </w:tc>
        <w:tc>
          <w:tcPr>
            <w:tcW w:type="dxa" w:w="7848"/>
            <w:vAlign w:val="top"/>
            <w:tcMar>
              <w:top w:w="80" w:type="dxa"/>
              <w:start w:w="90" w:type="dxa"/>
              <w:bottom w:w="80" w:type="dxa"/>
              <w:end w:w="90" w:type="dxa"/>
            </w:tcMar>
          </w:tcPr>
          <w:p>
            <w:r>
              <w:rPr>
                <w:sz w:val="17"/>
              </w:rPr>
              <w:t>Implements RDF/OWL/SKOS/SHACL artifacts, tests, mappings and documentation according to this standard.</w:t>
            </w:r>
          </w:p>
        </w:tc>
      </w:tr>
      <w:tr>
        <w:tc>
          <w:tcPr>
            <w:tcW w:type="dxa" w:w="2376"/>
            <w:vAlign w:val="top"/>
            <w:tcMar>
              <w:top w:w="80" w:type="dxa"/>
              <w:start w:w="90" w:type="dxa"/>
              <w:bottom w:w="80" w:type="dxa"/>
              <w:end w:w="90" w:type="dxa"/>
            </w:tcMar>
          </w:tcPr>
          <w:p>
            <w:r>
              <w:rPr>
                <w:sz w:val="17"/>
              </w:rPr>
              <w:t>Domain SME</w:t>
            </w:r>
          </w:p>
        </w:tc>
        <w:tc>
          <w:tcPr>
            <w:tcW w:type="dxa" w:w="7848"/>
            <w:vAlign w:val="top"/>
            <w:tcMar>
              <w:top w:w="80" w:type="dxa"/>
              <w:start w:w="90" w:type="dxa"/>
              <w:bottom w:w="80" w:type="dxa"/>
              <w:end w:w="90" w:type="dxa"/>
            </w:tcMar>
          </w:tcPr>
          <w:p>
            <w:r>
              <w:rPr>
                <w:sz w:val="17"/>
              </w:rPr>
              <w:t>Confirms business meaning, definitions, CQs, classification boundaries and examples.</w:t>
            </w:r>
          </w:p>
        </w:tc>
      </w:tr>
      <w:tr>
        <w:tc>
          <w:tcPr>
            <w:tcW w:type="dxa" w:w="2376"/>
            <w:vAlign w:val="top"/>
            <w:tcMar>
              <w:top w:w="80" w:type="dxa"/>
              <w:start w:w="90" w:type="dxa"/>
              <w:bottom w:w="80" w:type="dxa"/>
              <w:end w:w="90" w:type="dxa"/>
            </w:tcMar>
          </w:tcPr>
          <w:p>
            <w:r>
              <w:rPr>
                <w:sz w:val="17"/>
              </w:rPr>
              <w:t>Data Product / Application Owner</w:t>
            </w:r>
          </w:p>
        </w:tc>
        <w:tc>
          <w:tcPr>
            <w:tcW w:type="dxa" w:w="7848"/>
            <w:vAlign w:val="top"/>
            <w:tcMar>
              <w:top w:w="80" w:type="dxa"/>
              <w:start w:w="90" w:type="dxa"/>
              <w:bottom w:w="80" w:type="dxa"/>
              <w:end w:w="90" w:type="dxa"/>
            </w:tcMar>
          </w:tcPr>
          <w:p>
            <w:r>
              <w:rPr>
                <w:sz w:val="17"/>
              </w:rPr>
              <w:t>Defines consumer requirements and validates that semantic contracts support delivery needs without distorting domain meaning.</w:t>
            </w:r>
          </w:p>
        </w:tc>
      </w:tr>
      <w:tr>
        <w:tc>
          <w:tcPr>
            <w:tcW w:type="dxa" w:w="2376"/>
            <w:vAlign w:val="top"/>
            <w:tcMar>
              <w:top w:w="80" w:type="dxa"/>
              <w:start w:w="90" w:type="dxa"/>
              <w:bottom w:w="80" w:type="dxa"/>
              <w:end w:w="90" w:type="dxa"/>
            </w:tcMar>
          </w:tcPr>
          <w:p>
            <w:r>
              <w:rPr>
                <w:sz w:val="17"/>
              </w:rPr>
              <w:t>Semantic Platform / DevOps</w:t>
            </w:r>
          </w:p>
        </w:tc>
        <w:tc>
          <w:tcPr>
            <w:tcW w:type="dxa" w:w="7848"/>
            <w:vAlign w:val="top"/>
            <w:tcMar>
              <w:top w:w="80" w:type="dxa"/>
              <w:start w:w="90" w:type="dxa"/>
              <w:bottom w:w="80" w:type="dxa"/>
              <w:end w:w="90" w:type="dxa"/>
            </w:tcMar>
          </w:tcPr>
          <w:p>
            <w:r>
              <w:rPr>
                <w:sz w:val="17"/>
              </w:rPr>
              <w:t>Owns build tooling, registry, resolvers, CI gates, publication and runtime graph infrastructure.</w:t>
            </w:r>
          </w:p>
        </w:tc>
      </w:tr>
      <w:tr>
        <w:tc>
          <w:tcPr>
            <w:tcW w:type="dxa" w:w="2376"/>
            <w:vAlign w:val="top"/>
            <w:tcMar>
              <w:top w:w="80" w:type="dxa"/>
              <w:start w:w="90" w:type="dxa"/>
              <w:bottom w:w="80" w:type="dxa"/>
              <w:end w:w="90" w:type="dxa"/>
            </w:tcMar>
          </w:tcPr>
          <w:p>
            <w:r>
              <w:rPr>
                <w:sz w:val="17"/>
              </w:rPr>
              <w:t>Security / Data Governance</w:t>
            </w:r>
          </w:p>
        </w:tc>
        <w:tc>
          <w:tcPr>
            <w:tcW w:type="dxa" w:w="7848"/>
            <w:vAlign w:val="top"/>
            <w:tcMar>
              <w:top w:w="80" w:type="dxa"/>
              <w:start w:w="90" w:type="dxa"/>
              <w:bottom w:w="80" w:type="dxa"/>
              <w:end w:w="90" w:type="dxa"/>
            </w:tcMar>
          </w:tcPr>
          <w:p>
            <w:r>
              <w:rPr>
                <w:sz w:val="17"/>
              </w:rPr>
              <w:t>Reviews data classification, privacy, provenance and external sharing requirements.</w:t>
            </w:r>
          </w:p>
        </w:tc>
      </w:tr>
    </w:tbl>
    <w:p>
      <w:pPr>
        <w:spacing w:after="20"/>
      </w:pPr>
    </w:p>
    <w:p>
      <w:r>
        <w:rPr>
          <w:b/>
        </w:rPr>
        <w:t xml:space="preserve">Decision rule: </w:t>
      </w:r>
      <w:r>
        <w:t>The owner of a namespace has authority over that namespace, but not over enterprise meaning outside its scope. Cross-domain concepts and breaking foundation changes are escalated to the governance board rather than solved through local edits.</w:t>
      </w:r>
    </w:p>
    <w:p>
      <w:pPr>
        <w:pStyle w:val="Heading1"/>
      </w:pPr>
      <w:r>
        <w:t>22. Standard Development Workflow</w:t>
      </w:r>
    </w:p>
    <w:p>
      <w:pPr>
        <w:pStyle w:val="ListNumber"/>
        <w:spacing w:after="40"/>
      </w:pPr>
      <w:r>
        <w:t>Intake - capture the business use case, decisions to support, consumers, data-quality requirements and non-functional constraints.</w:t>
      </w:r>
    </w:p>
    <w:p>
      <w:pPr>
        <w:pStyle w:val="ListNumber"/>
        <w:spacing w:after="40"/>
      </w:pPr>
      <w:r>
        <w:t>Competency questions - write stable CQ IDs in business language before detailed class modeling.</w:t>
      </w:r>
    </w:p>
    <w:p>
      <w:pPr>
        <w:pStyle w:val="ListNumber"/>
        <w:spacing w:after="40"/>
      </w:pPr>
      <w:r>
        <w:t>Domain discovery - align vocabulary with SMEs, identify existing enterprise terms, source-system terms and external standards.</w:t>
      </w:r>
    </w:p>
    <w:p>
      <w:pPr>
        <w:pStyle w:val="ListNumber"/>
        <w:spacing w:after="40"/>
      </w:pPr>
      <w:r>
        <w:t>Reuse assessment - search approved internal modules and relevant external ontologies; document reuse vs mint decision.</w:t>
      </w:r>
    </w:p>
    <w:p>
      <w:pPr>
        <w:pStyle w:val="ListNumber"/>
        <w:spacing w:after="40"/>
      </w:pPr>
      <w:r>
        <w:t>Module boundary - choose owning layer/module and confirm imports remain directed and acyclic.</w:t>
      </w:r>
    </w:p>
    <w:p>
      <w:pPr>
        <w:pStyle w:val="ListNumber"/>
        <w:spacing w:after="40"/>
      </w:pPr>
      <w:r>
        <w:t>Namespace registration - reserve module namespace and preferred prefix before minting terms.</w:t>
      </w:r>
    </w:p>
    <w:p>
      <w:pPr>
        <w:pStyle w:val="ListNumber"/>
        <w:spacing w:after="40"/>
      </w:pPr>
      <w:r>
        <w:t>Model skeleton - define core classes and relationships with labels/definitions; avoid premature restrictions.</w:t>
      </w:r>
    </w:p>
    <w:p>
      <w:pPr>
        <w:pStyle w:val="ListNumber"/>
        <w:spacing w:after="40"/>
      </w:pPr>
      <w:r>
        <w:t>Vocabulary design - move governed value lists into independent SKOS schemes.</w:t>
      </w:r>
    </w:p>
    <w:p>
      <w:pPr>
        <w:pStyle w:val="ListNumber"/>
        <w:spacing w:after="40"/>
      </w:pPr>
      <w:r>
        <w:t>Semantic axioms - add only logically valid subclass, disjointness, inverse, key, restriction and property characteristics required by CQs.</w:t>
      </w:r>
    </w:p>
    <w:p>
      <w:pPr>
        <w:pStyle w:val="ListNumber"/>
        <w:spacing w:after="40"/>
      </w:pPr>
      <w:r>
        <w:t>SHACL contract - encode completeness, cardinality, datatype, allowed value, pattern and cross-field validation requirements.</w:t>
      </w:r>
    </w:p>
    <w:p>
      <w:pPr>
        <w:pStyle w:val="ListNumber"/>
        <w:spacing w:after="40"/>
      </w:pPr>
      <w:r>
        <w:t>Sample fixtures - create valid and invalid synthetic examples.</w:t>
      </w:r>
    </w:p>
    <w:p>
      <w:pPr>
        <w:pStyle w:val="ListNumber"/>
        <w:spacing w:after="40"/>
      </w:pPr>
      <w:r>
        <w:t>CQ queries - implement SPARQL acceptance tests and expected results.</w:t>
      </w:r>
    </w:p>
    <w:p>
      <w:pPr>
        <w:pStyle w:val="ListNumber"/>
        <w:spacing w:after="40"/>
      </w:pPr>
      <w:r>
        <w:t>Reason/validate - run parser, namespace lint, OWL reasoning, SHACL, SKOS and CQ regression locally.</w:t>
      </w:r>
    </w:p>
    <w:p>
      <w:pPr>
        <w:pStyle w:val="ListNumber"/>
        <w:spacing w:after="40"/>
      </w:pPr>
      <w:r>
        <w:t>Peer + SME review - review semantic meaning separately from syntax and implementation style.</w:t>
      </w:r>
    </w:p>
    <w:p>
      <w:pPr>
        <w:pStyle w:val="ListNumber"/>
        <w:spacing w:after="40"/>
      </w:pPr>
      <w:r>
        <w:t>Governance review - required for new root/layer, foundation change, external publication, breaking change or approved standard exception.</w:t>
      </w:r>
    </w:p>
    <w:p>
      <w:pPr>
        <w:pStyle w:val="ListNumber"/>
        <w:spacing w:after="40"/>
      </w:pPr>
      <w:r>
        <w:t>Merge + release - tag immutable version, generate projections/docs, publish namespace and update registry.</w:t>
      </w:r>
    </w:p>
    <w:p>
      <w:pPr>
        <w:pStyle w:val="ListNumber"/>
        <w:spacing w:after="40"/>
      </w:pPr>
      <w:r>
        <w:t>Operate - monitor consumer feedback, deprecations and model gaps; never patch released snapshots in place.</w:t>
      </w:r>
    </w:p>
    <w:p>
      <w:pPr>
        <w:pStyle w:val="Heading1"/>
      </w:pPr>
      <w:r>
        <w:t>23. Definition of Ready and Definition of Done</w:t>
      </w:r>
    </w:p>
    <w:p>
      <w:pPr>
        <w:pStyle w:val="Heading2"/>
      </w:pPr>
      <w:r>
        <w:t>23.1 Definition of Ready - before implementation</w:t>
      </w:r>
    </w:p>
    <w:p>
      <w:pPr>
        <w:pStyle w:val="ListBullet"/>
        <w:spacing w:after="40"/>
      </w:pPr>
      <w:r>
        <w:t>Business problem and consumer are identified.</w:t>
      </w:r>
    </w:p>
    <w:p>
      <w:pPr>
        <w:pStyle w:val="ListBullet"/>
        <w:spacing w:after="40"/>
      </w:pPr>
      <w:r>
        <w:t>At least one accepted competency question exists.</w:t>
      </w:r>
    </w:p>
    <w:p>
      <w:pPr>
        <w:pStyle w:val="ListBullet"/>
        <w:spacing w:after="40"/>
      </w:pPr>
      <w:r>
        <w:t>Domain SME and module steward are assigned.</w:t>
      </w:r>
    </w:p>
    <w:p>
      <w:pPr>
        <w:pStyle w:val="ListBullet"/>
        <w:spacing w:after="40"/>
      </w:pPr>
      <w:r>
        <w:t>Existing enterprise and external reuse candidates were searched.</w:t>
      </w:r>
    </w:p>
    <w:p>
      <w:pPr>
        <w:pStyle w:val="ListBullet"/>
        <w:spacing w:after="40"/>
      </w:pPr>
      <w:r>
        <w:t>Proposed module ownership and namespace are known.</w:t>
      </w:r>
    </w:p>
    <w:p>
      <w:pPr>
        <w:pStyle w:val="ListBullet"/>
        <w:spacing w:after="40"/>
      </w:pPr>
      <w:r>
        <w:t>Expected data examples are available or can be synthesized.</w:t>
      </w:r>
    </w:p>
    <w:p>
      <w:pPr>
        <w:pStyle w:val="ListBullet"/>
        <w:spacing w:after="40"/>
      </w:pPr>
      <w:r>
        <w:t>Any regulatory/security constraints are known.</w:t>
      </w:r>
    </w:p>
    <w:p>
      <w:pPr>
        <w:pStyle w:val="Heading2"/>
      </w:pPr>
      <w:r>
        <w:t>23.2 Definition of Done - before merge/release</w:t>
      </w:r>
    </w:p>
    <w:p>
      <w:pPr>
        <w:pStyle w:val="ListBullet"/>
        <w:spacing w:after="40"/>
      </w:pPr>
      <w:r>
        <w:t>Namespace and prefix conform to registry policy.</w:t>
      </w:r>
    </w:p>
    <w:p>
      <w:pPr>
        <w:pStyle w:val="ListBullet"/>
        <w:spacing w:after="40"/>
      </w:pPr>
      <w:r>
        <w:t>Ontology parses and stays within the approved OWL profile.</w:t>
      </w:r>
    </w:p>
    <w:p>
      <w:pPr>
        <w:pStyle w:val="ListBullet"/>
        <w:spacing w:after="40"/>
      </w:pPr>
      <w:r>
        <w:t>Import graph resolves and is acyclic.</w:t>
      </w:r>
    </w:p>
    <w:p>
      <w:pPr>
        <w:pStyle w:val="ListBullet"/>
        <w:spacing w:after="40"/>
      </w:pPr>
      <w:r>
        <w:t>Reasoner reports consistent ontology and intended classes satisfiable.</w:t>
      </w:r>
    </w:p>
    <w:p>
      <w:pPr>
        <w:pStyle w:val="ListBullet"/>
        <w:spacing w:after="40"/>
      </w:pPr>
      <w:r>
        <w:t>All classes/properties have required labels and definitions.</w:t>
      </w:r>
    </w:p>
    <w:p>
      <w:pPr>
        <w:pStyle w:val="ListBullet"/>
        <w:spacing w:after="40"/>
      </w:pPr>
      <w:r>
        <w:t>Controlled values are modeled in SKOS where appropriate.</w:t>
      </w:r>
    </w:p>
    <w:p>
      <w:pPr>
        <w:pStyle w:val="ListBullet"/>
        <w:spacing w:after="40"/>
      </w:pPr>
      <w:r>
        <w:t>SHACL shapes validate all valid fixtures; negative fixtures fail as intended.</w:t>
      </w:r>
    </w:p>
    <w:p>
      <w:pPr>
        <w:pStyle w:val="ListBullet"/>
        <w:spacing w:after="40"/>
      </w:pPr>
      <w:r>
        <w:t>Competency questions execute and return expected results.</w:t>
      </w:r>
    </w:p>
    <w:p>
      <w:pPr>
        <w:pStyle w:val="ListBullet"/>
        <w:spacing w:after="40"/>
      </w:pPr>
      <w:r>
        <w:t>No unowned namespace was modified or polluted.</w:t>
      </w:r>
    </w:p>
    <w:p>
      <w:pPr>
        <w:pStyle w:val="ListBullet"/>
        <w:spacing w:after="40"/>
      </w:pPr>
      <w:r>
        <w:t>Change is classified as patch/minor/major and changelog updated.</w:t>
      </w:r>
    </w:p>
    <w:p>
      <w:pPr>
        <w:pStyle w:val="ListBullet"/>
        <w:spacing w:after="40"/>
      </w:pPr>
      <w:r>
        <w:t>Deprecated terms include replacement/change notes where possible.</w:t>
      </w:r>
    </w:p>
    <w:p>
      <w:pPr>
        <w:pStyle w:val="ListBullet"/>
        <w:spacing w:after="40"/>
      </w:pPr>
      <w:r>
        <w:t>Generated contexts/docs are regenerated with no drift.</w:t>
      </w:r>
    </w:p>
    <w:p>
      <w:pPr>
        <w:pStyle w:val="ListBullet"/>
        <w:spacing w:after="40"/>
      </w:pPr>
      <w:r>
        <w:t>Required ontology reviewer and domain SME approvals are complete.</w:t>
      </w:r>
    </w:p>
    <w:p>
      <w:pPr>
        <w:pStyle w:val="ListBullet"/>
        <w:spacing w:after="40"/>
      </w:pPr>
      <w:r>
        <w:t>Release artifact is reproducible from the tagged commit.</w:t>
      </w:r>
    </w:p>
    <w:p>
      <w:pPr>
        <w:pStyle w:val="Heading1"/>
      </w:pPr>
      <w:r>
        <w:t>24. Anti-Patterns Prohibited by the Standard</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2448"/>
            <w:shd w:fill="1F4E78"/>
            <w:vAlign w:val="center"/>
            <w:tcMar>
              <w:top w:w="80" w:type="dxa"/>
              <w:start w:w="90" w:type="dxa"/>
              <w:bottom w:w="80" w:type="dxa"/>
              <w:end w:w="90" w:type="dxa"/>
            </w:tcMar>
          </w:tcPr>
          <w:p>
            <w:r>
              <w:rPr>
                <w:b/>
                <w:color w:val="FFFFFF"/>
                <w:sz w:val="18"/>
              </w:rPr>
              <w:t>Anti-pattern</w:t>
            </w:r>
          </w:p>
        </w:tc>
        <w:tc>
          <w:tcPr>
            <w:tcW w:type="dxa" w:w="4320"/>
            <w:shd w:fill="1F4E78"/>
            <w:vAlign w:val="center"/>
            <w:tcMar>
              <w:top w:w="80" w:type="dxa"/>
              <w:start w:w="90" w:type="dxa"/>
              <w:bottom w:w="80" w:type="dxa"/>
              <w:end w:w="90" w:type="dxa"/>
            </w:tcMar>
          </w:tcPr>
          <w:p>
            <w:r>
              <w:rPr>
                <w:b/>
                <w:color w:val="FFFFFF"/>
                <w:sz w:val="18"/>
              </w:rPr>
              <w:t>Why it is prohibited</w:t>
            </w:r>
          </w:p>
        </w:tc>
        <w:tc>
          <w:tcPr>
            <w:tcW w:type="dxa" w:w="3456"/>
            <w:shd w:fill="1F4E78"/>
            <w:vAlign w:val="center"/>
            <w:tcMar>
              <w:top w:w="80" w:type="dxa"/>
              <w:start w:w="90" w:type="dxa"/>
              <w:bottom w:w="80" w:type="dxa"/>
              <w:end w:w="90" w:type="dxa"/>
            </w:tcMar>
          </w:tcPr>
          <w:p>
            <w:r>
              <w:rPr>
                <w:b/>
                <w:color w:val="FFFFFF"/>
                <w:sz w:val="18"/>
              </w:rPr>
              <w:t>Correct approach</w:t>
            </w:r>
          </w:p>
        </w:tc>
      </w:tr>
      <w:tr>
        <w:tc>
          <w:tcPr>
            <w:tcW w:type="dxa" w:w="2448"/>
            <w:vAlign w:val="top"/>
            <w:tcMar>
              <w:top w:w="80" w:type="dxa"/>
              <w:start w:w="90" w:type="dxa"/>
              <w:bottom w:w="80" w:type="dxa"/>
              <w:end w:w="90" w:type="dxa"/>
            </w:tcMar>
          </w:tcPr>
          <w:p>
            <w:r>
              <w:rPr>
                <w:sz w:val="17"/>
              </w:rPr>
              <w:t>One giant ontology file</w:t>
            </w:r>
          </w:p>
        </w:tc>
        <w:tc>
          <w:tcPr>
            <w:tcW w:type="dxa" w:w="4320"/>
            <w:vAlign w:val="top"/>
            <w:tcMar>
              <w:top w:w="80" w:type="dxa"/>
              <w:start w:w="90" w:type="dxa"/>
              <w:bottom w:w="80" w:type="dxa"/>
              <w:end w:w="90" w:type="dxa"/>
            </w:tcMar>
          </w:tcPr>
          <w:p>
            <w:r>
              <w:rPr>
                <w:sz w:val="17"/>
              </w:rPr>
              <w:t>Unclear ownership, slow reasoning, hard review and coupled releases</w:t>
            </w:r>
          </w:p>
        </w:tc>
        <w:tc>
          <w:tcPr>
            <w:tcW w:type="dxa" w:w="3456"/>
            <w:vAlign w:val="top"/>
            <w:tcMar>
              <w:top w:w="80" w:type="dxa"/>
              <w:start w:w="90" w:type="dxa"/>
              <w:bottom w:w="80" w:type="dxa"/>
              <w:end w:w="90" w:type="dxa"/>
            </w:tcMar>
          </w:tcPr>
          <w:p>
            <w:r>
              <w:rPr>
                <w:sz w:val="17"/>
              </w:rPr>
              <w:t>Split into coherent modules with directed imports</w:t>
            </w:r>
          </w:p>
        </w:tc>
      </w:tr>
      <w:tr>
        <w:tc>
          <w:tcPr>
            <w:tcW w:type="dxa" w:w="2448"/>
            <w:vAlign w:val="top"/>
            <w:tcMar>
              <w:top w:w="80" w:type="dxa"/>
              <w:start w:w="90" w:type="dxa"/>
              <w:bottom w:w="80" w:type="dxa"/>
              <w:end w:w="90" w:type="dxa"/>
            </w:tcMar>
          </w:tcPr>
          <w:p>
            <w:r>
              <w:rPr>
                <w:sz w:val="17"/>
              </w:rPr>
              <w:t>Modeling JSON/message structure</w:t>
            </w:r>
          </w:p>
        </w:tc>
        <w:tc>
          <w:tcPr>
            <w:tcW w:type="dxa" w:w="4320"/>
            <w:vAlign w:val="top"/>
            <w:tcMar>
              <w:top w:w="80" w:type="dxa"/>
              <w:start w:w="90" w:type="dxa"/>
              <w:bottom w:w="80" w:type="dxa"/>
              <w:end w:w="90" w:type="dxa"/>
            </w:tcMar>
          </w:tcPr>
          <w:p>
            <w:r>
              <w:rPr>
                <w:sz w:val="17"/>
              </w:rPr>
              <w:t>Couples domain meaning to transport format</w:t>
            </w:r>
          </w:p>
        </w:tc>
        <w:tc>
          <w:tcPr>
            <w:tcW w:type="dxa" w:w="3456"/>
            <w:vAlign w:val="top"/>
            <w:tcMar>
              <w:top w:w="80" w:type="dxa"/>
              <w:start w:w="90" w:type="dxa"/>
              <w:bottom w:w="80" w:type="dxa"/>
              <w:end w:w="90" w:type="dxa"/>
            </w:tcMar>
          </w:tcPr>
          <w:p>
            <w:r>
              <w:rPr>
                <w:sz w:val="17"/>
              </w:rPr>
              <w:t>Model business concepts; map payloads separately</w:t>
            </w:r>
          </w:p>
        </w:tc>
      </w:tr>
      <w:tr>
        <w:tc>
          <w:tcPr>
            <w:tcW w:type="dxa" w:w="2448"/>
            <w:vAlign w:val="top"/>
            <w:tcMar>
              <w:top w:w="80" w:type="dxa"/>
              <w:start w:w="90" w:type="dxa"/>
              <w:bottom w:w="80" w:type="dxa"/>
              <w:end w:w="90" w:type="dxa"/>
            </w:tcMar>
          </w:tcPr>
          <w:p>
            <w:r>
              <w:rPr>
                <w:sz w:val="17"/>
              </w:rPr>
              <w:t>Controlled code as OWL class</w:t>
            </w:r>
          </w:p>
        </w:tc>
        <w:tc>
          <w:tcPr>
            <w:tcW w:type="dxa" w:w="4320"/>
            <w:vAlign w:val="top"/>
            <w:tcMar>
              <w:top w:w="80" w:type="dxa"/>
              <w:start w:w="90" w:type="dxa"/>
              <w:bottom w:w="80" w:type="dxa"/>
              <w:end w:w="90" w:type="dxa"/>
            </w:tcMar>
          </w:tcPr>
          <w:p>
            <w:r>
              <w:rPr>
                <w:sz w:val="17"/>
              </w:rPr>
              <w:t>Explodes class hierarchy and confuses value vs type</w:t>
            </w:r>
          </w:p>
        </w:tc>
        <w:tc>
          <w:tcPr>
            <w:tcW w:type="dxa" w:w="3456"/>
            <w:vAlign w:val="top"/>
            <w:tcMar>
              <w:top w:w="80" w:type="dxa"/>
              <w:start w:w="90" w:type="dxa"/>
              <w:bottom w:w="80" w:type="dxa"/>
              <w:end w:w="90" w:type="dxa"/>
            </w:tcMar>
          </w:tcPr>
          <w:p>
            <w:r>
              <w:rPr>
                <w:sz w:val="17"/>
              </w:rPr>
              <w:t>Use SKOS ConceptScheme + Concept</w:t>
            </w:r>
          </w:p>
        </w:tc>
      </w:tr>
      <w:tr>
        <w:tc>
          <w:tcPr>
            <w:tcW w:type="dxa" w:w="2448"/>
            <w:vAlign w:val="top"/>
            <w:tcMar>
              <w:top w:w="80" w:type="dxa"/>
              <w:start w:w="90" w:type="dxa"/>
              <w:bottom w:w="80" w:type="dxa"/>
              <w:end w:w="90" w:type="dxa"/>
            </w:tcMar>
          </w:tcPr>
          <w:p>
            <w:r>
              <w:rPr>
                <w:sz w:val="17"/>
              </w:rPr>
              <w:t>Subclass for part-of</w:t>
            </w:r>
          </w:p>
        </w:tc>
        <w:tc>
          <w:tcPr>
            <w:tcW w:type="dxa" w:w="4320"/>
            <w:vAlign w:val="top"/>
            <w:tcMar>
              <w:top w:w="80" w:type="dxa"/>
              <w:start w:w="90" w:type="dxa"/>
              <w:bottom w:w="80" w:type="dxa"/>
              <w:end w:w="90" w:type="dxa"/>
            </w:tcMar>
          </w:tcPr>
          <w:p>
            <w:r>
              <w:rPr>
                <w:sz w:val="17"/>
              </w:rPr>
              <w:t>Claims an incorrect is-a relationship</w:t>
            </w:r>
          </w:p>
        </w:tc>
        <w:tc>
          <w:tcPr>
            <w:tcW w:type="dxa" w:w="3456"/>
            <w:vAlign w:val="top"/>
            <w:tcMar>
              <w:top w:w="80" w:type="dxa"/>
              <w:start w:w="90" w:type="dxa"/>
              <w:bottom w:w="80" w:type="dxa"/>
              <w:end w:w="90" w:type="dxa"/>
            </w:tcMar>
          </w:tcPr>
          <w:p>
            <w:r>
              <w:rPr>
                <w:sz w:val="17"/>
              </w:rPr>
              <w:t>Use object property such as hasPart/containsCoverage</w:t>
            </w:r>
          </w:p>
        </w:tc>
      </w:tr>
      <w:tr>
        <w:tc>
          <w:tcPr>
            <w:tcW w:type="dxa" w:w="2448"/>
            <w:vAlign w:val="top"/>
            <w:tcMar>
              <w:top w:w="80" w:type="dxa"/>
              <w:start w:w="90" w:type="dxa"/>
              <w:bottom w:w="80" w:type="dxa"/>
              <w:end w:w="90" w:type="dxa"/>
            </w:tcMar>
          </w:tcPr>
          <w:p>
            <w:r>
              <w:rPr>
                <w:sz w:val="17"/>
              </w:rPr>
              <w:t>OWL as data validator</w:t>
            </w:r>
          </w:p>
        </w:tc>
        <w:tc>
          <w:tcPr>
            <w:tcW w:type="dxa" w:w="4320"/>
            <w:vAlign w:val="top"/>
            <w:tcMar>
              <w:top w:w="80" w:type="dxa"/>
              <w:start w:w="90" w:type="dxa"/>
              <w:bottom w:w="80" w:type="dxa"/>
              <w:end w:w="90" w:type="dxa"/>
            </w:tcMar>
          </w:tcPr>
          <w:p>
            <w:r>
              <w:rPr>
                <w:sz w:val="17"/>
              </w:rPr>
              <w:t>Open-world semantics do not mean missing data is invalid</w:t>
            </w:r>
          </w:p>
        </w:tc>
        <w:tc>
          <w:tcPr>
            <w:tcW w:type="dxa" w:w="3456"/>
            <w:vAlign w:val="top"/>
            <w:tcMar>
              <w:top w:w="80" w:type="dxa"/>
              <w:start w:w="90" w:type="dxa"/>
              <w:bottom w:w="80" w:type="dxa"/>
              <w:end w:w="90" w:type="dxa"/>
            </w:tcMar>
          </w:tcPr>
          <w:p>
            <w:r>
              <w:rPr>
                <w:sz w:val="17"/>
              </w:rPr>
              <w:t>Use SHACL for conformance</w:t>
            </w:r>
          </w:p>
        </w:tc>
      </w:tr>
      <w:tr>
        <w:tc>
          <w:tcPr>
            <w:tcW w:type="dxa" w:w="2448"/>
            <w:vAlign w:val="top"/>
            <w:tcMar>
              <w:top w:w="80" w:type="dxa"/>
              <w:start w:w="90" w:type="dxa"/>
              <w:bottom w:w="80" w:type="dxa"/>
              <w:end w:w="90" w:type="dxa"/>
            </w:tcMar>
          </w:tcPr>
          <w:p>
            <w:r>
              <w:rPr>
                <w:sz w:val="17"/>
              </w:rPr>
              <w:t>Treating domain/range as validation</w:t>
            </w:r>
          </w:p>
        </w:tc>
        <w:tc>
          <w:tcPr>
            <w:tcW w:type="dxa" w:w="4320"/>
            <w:vAlign w:val="top"/>
            <w:tcMar>
              <w:top w:w="80" w:type="dxa"/>
              <w:start w:w="90" w:type="dxa"/>
              <w:bottom w:w="80" w:type="dxa"/>
              <w:end w:w="90" w:type="dxa"/>
            </w:tcMar>
          </w:tcPr>
          <w:p>
            <w:r>
              <w:rPr>
                <w:sz w:val="17"/>
              </w:rPr>
              <w:t>RDFS domain/range infer types rather than reject data</w:t>
            </w:r>
          </w:p>
        </w:tc>
        <w:tc>
          <w:tcPr>
            <w:tcW w:type="dxa" w:w="3456"/>
            <w:vAlign w:val="top"/>
            <w:tcMar>
              <w:top w:w="80" w:type="dxa"/>
              <w:start w:w="90" w:type="dxa"/>
              <w:bottom w:w="80" w:type="dxa"/>
              <w:end w:w="90" w:type="dxa"/>
            </w:tcMar>
          </w:tcPr>
          <w:p>
            <w:r>
              <w:rPr>
                <w:sz w:val="17"/>
              </w:rPr>
              <w:t>Use SHACL class/node constraints</w:t>
            </w:r>
          </w:p>
        </w:tc>
      </w:tr>
      <w:tr>
        <w:tc>
          <w:tcPr>
            <w:tcW w:type="dxa" w:w="2448"/>
            <w:vAlign w:val="top"/>
            <w:tcMar>
              <w:top w:w="80" w:type="dxa"/>
              <w:start w:w="90" w:type="dxa"/>
              <w:bottom w:w="80" w:type="dxa"/>
              <w:end w:w="90" w:type="dxa"/>
            </w:tcMar>
          </w:tcPr>
          <w:p>
            <w:r>
              <w:rPr>
                <w:sz w:val="17"/>
              </w:rPr>
              <w:t>Editing another namespace</w:t>
            </w:r>
          </w:p>
        </w:tc>
        <w:tc>
          <w:tcPr>
            <w:tcW w:type="dxa" w:w="4320"/>
            <w:vAlign w:val="top"/>
            <w:tcMar>
              <w:top w:w="80" w:type="dxa"/>
              <w:start w:w="90" w:type="dxa"/>
              <w:bottom w:w="80" w:type="dxa"/>
              <w:end w:w="90" w:type="dxa"/>
            </w:tcMar>
          </w:tcPr>
          <w:p>
            <w:r>
              <w:rPr>
                <w:sz w:val="17"/>
              </w:rPr>
              <w:t>Breaks ownership and identity governance</w:t>
            </w:r>
          </w:p>
        </w:tc>
        <w:tc>
          <w:tcPr>
            <w:tcW w:type="dxa" w:w="3456"/>
            <w:vAlign w:val="top"/>
            <w:tcMar>
              <w:top w:w="80" w:type="dxa"/>
              <w:start w:w="90" w:type="dxa"/>
              <w:bottom w:w="80" w:type="dxa"/>
              <w:end w:w="90" w:type="dxa"/>
            </w:tcMar>
          </w:tcPr>
          <w:p>
            <w:r>
              <w:rPr>
                <w:sz w:val="17"/>
              </w:rPr>
              <w:t>Extend from own namespace and map/subclass upward</w:t>
            </w:r>
          </w:p>
        </w:tc>
      </w:tr>
      <w:tr>
        <w:tc>
          <w:tcPr>
            <w:tcW w:type="dxa" w:w="2448"/>
            <w:vAlign w:val="top"/>
            <w:tcMar>
              <w:top w:w="80" w:type="dxa"/>
              <w:start w:w="90" w:type="dxa"/>
              <w:bottom w:w="80" w:type="dxa"/>
              <w:end w:w="90" w:type="dxa"/>
            </w:tcMar>
          </w:tcPr>
          <w:p>
            <w:r>
              <w:rPr>
                <w:sz w:val="17"/>
              </w:rPr>
              <w:t>Copying external ontology terms</w:t>
            </w:r>
          </w:p>
        </w:tc>
        <w:tc>
          <w:tcPr>
            <w:tcW w:type="dxa" w:w="4320"/>
            <w:vAlign w:val="top"/>
            <w:tcMar>
              <w:top w:w="80" w:type="dxa"/>
              <w:start w:w="90" w:type="dxa"/>
              <w:bottom w:w="80" w:type="dxa"/>
              <w:end w:w="90" w:type="dxa"/>
            </w:tcMar>
          </w:tcPr>
          <w:p>
            <w:r>
              <w:rPr>
                <w:sz w:val="17"/>
              </w:rPr>
              <w:t>Creates duplicate identities and interoperability problems</w:t>
            </w:r>
          </w:p>
        </w:tc>
        <w:tc>
          <w:tcPr>
            <w:tcW w:type="dxa" w:w="3456"/>
            <w:vAlign w:val="top"/>
            <w:tcMar>
              <w:top w:w="80" w:type="dxa"/>
              <w:start w:w="90" w:type="dxa"/>
              <w:bottom w:w="80" w:type="dxa"/>
              <w:end w:w="90" w:type="dxa"/>
            </w:tcMar>
          </w:tcPr>
          <w:p>
            <w:r>
              <w:rPr>
                <w:sz w:val="17"/>
              </w:rPr>
              <w:t>Reuse canonical external IRIs</w:t>
            </w:r>
          </w:p>
        </w:tc>
      </w:tr>
      <w:tr>
        <w:tc>
          <w:tcPr>
            <w:tcW w:type="dxa" w:w="2448"/>
            <w:vAlign w:val="top"/>
            <w:tcMar>
              <w:top w:w="80" w:type="dxa"/>
              <w:start w:w="90" w:type="dxa"/>
              <w:bottom w:w="80" w:type="dxa"/>
              <w:end w:w="90" w:type="dxa"/>
            </w:tcMar>
          </w:tcPr>
          <w:p>
            <w:r>
              <w:rPr>
                <w:sz w:val="17"/>
              </w:rPr>
              <w:t>Version in every class IRI</w:t>
            </w:r>
          </w:p>
        </w:tc>
        <w:tc>
          <w:tcPr>
            <w:tcW w:type="dxa" w:w="4320"/>
            <w:vAlign w:val="top"/>
            <w:tcMar>
              <w:top w:w="80" w:type="dxa"/>
              <w:start w:w="90" w:type="dxa"/>
              <w:bottom w:w="80" w:type="dxa"/>
              <w:end w:w="90" w:type="dxa"/>
            </w:tcMar>
          </w:tcPr>
          <w:p>
            <w:r>
              <w:rPr>
                <w:sz w:val="17"/>
              </w:rPr>
              <w:t>Destroys stable identity and query compatibility</w:t>
            </w:r>
          </w:p>
        </w:tc>
        <w:tc>
          <w:tcPr>
            <w:tcW w:type="dxa" w:w="3456"/>
            <w:vAlign w:val="top"/>
            <w:tcMar>
              <w:top w:w="80" w:type="dxa"/>
              <w:start w:w="90" w:type="dxa"/>
              <w:bottom w:w="80" w:type="dxa"/>
              <w:end w:w="90" w:type="dxa"/>
            </w:tcMar>
          </w:tcPr>
          <w:p>
            <w:r>
              <w:rPr>
                <w:sz w:val="17"/>
              </w:rPr>
              <w:t>Version the ontology snapshot, not terms</w:t>
            </w:r>
          </w:p>
        </w:tc>
      </w:tr>
      <w:tr>
        <w:tc>
          <w:tcPr>
            <w:tcW w:type="dxa" w:w="2448"/>
            <w:vAlign w:val="top"/>
            <w:tcMar>
              <w:top w:w="80" w:type="dxa"/>
              <w:start w:w="90" w:type="dxa"/>
              <w:bottom w:w="80" w:type="dxa"/>
              <w:end w:w="90" w:type="dxa"/>
            </w:tcMar>
          </w:tcPr>
          <w:p>
            <w:r>
              <w:rPr>
                <w:sz w:val="17"/>
              </w:rPr>
              <w:t>Deleting deprecated terms</w:t>
            </w:r>
          </w:p>
        </w:tc>
        <w:tc>
          <w:tcPr>
            <w:tcW w:type="dxa" w:w="4320"/>
            <w:vAlign w:val="top"/>
            <w:tcMar>
              <w:top w:w="80" w:type="dxa"/>
              <w:start w:w="90" w:type="dxa"/>
              <w:bottom w:w="80" w:type="dxa"/>
              <w:end w:w="90" w:type="dxa"/>
            </w:tcMar>
          </w:tcPr>
          <w:p>
            <w:r>
              <w:rPr>
                <w:sz w:val="17"/>
              </w:rPr>
              <w:t>Breaks historic data and queries</w:t>
            </w:r>
          </w:p>
        </w:tc>
        <w:tc>
          <w:tcPr>
            <w:tcW w:type="dxa" w:w="3456"/>
            <w:vAlign w:val="top"/>
            <w:tcMar>
              <w:top w:w="80" w:type="dxa"/>
              <w:start w:w="90" w:type="dxa"/>
              <w:bottom w:w="80" w:type="dxa"/>
              <w:end w:w="90" w:type="dxa"/>
            </w:tcMar>
          </w:tcPr>
          <w:p>
            <w:r>
              <w:rPr>
                <w:sz w:val="17"/>
              </w:rPr>
              <w:t>Keep IRI resolvable; owl:deprecated true</w:t>
            </w:r>
          </w:p>
        </w:tc>
      </w:tr>
      <w:tr>
        <w:tc>
          <w:tcPr>
            <w:tcW w:type="dxa" w:w="2448"/>
            <w:vAlign w:val="top"/>
            <w:tcMar>
              <w:top w:w="80" w:type="dxa"/>
              <w:start w:w="90" w:type="dxa"/>
              <w:bottom w:w="80" w:type="dxa"/>
              <w:end w:w="90" w:type="dxa"/>
            </w:tcMar>
          </w:tcPr>
          <w:p>
            <w:r>
              <w:rPr>
                <w:sz w:val="17"/>
              </w:rPr>
              <w:t>Circular imports</w:t>
            </w:r>
          </w:p>
        </w:tc>
        <w:tc>
          <w:tcPr>
            <w:tcW w:type="dxa" w:w="4320"/>
            <w:vAlign w:val="top"/>
            <w:tcMar>
              <w:top w:w="80" w:type="dxa"/>
              <w:start w:w="90" w:type="dxa"/>
              <w:bottom w:w="80" w:type="dxa"/>
              <w:end w:w="90" w:type="dxa"/>
            </w:tcMar>
          </w:tcPr>
          <w:p>
            <w:r>
              <w:rPr>
                <w:sz w:val="17"/>
              </w:rPr>
              <w:t>Makes module responsibilities and builds unstable</w:t>
            </w:r>
          </w:p>
        </w:tc>
        <w:tc>
          <w:tcPr>
            <w:tcW w:type="dxa" w:w="3456"/>
            <w:vAlign w:val="top"/>
            <w:tcMar>
              <w:top w:w="80" w:type="dxa"/>
              <w:start w:w="90" w:type="dxa"/>
              <w:bottom w:w="80" w:type="dxa"/>
              <w:end w:w="90" w:type="dxa"/>
            </w:tcMar>
          </w:tcPr>
          <w:p>
            <w:r>
              <w:rPr>
                <w:sz w:val="17"/>
              </w:rPr>
              <w:t>Redesign dependency direction</w:t>
            </w:r>
          </w:p>
        </w:tc>
      </w:tr>
      <w:tr>
        <w:tc>
          <w:tcPr>
            <w:tcW w:type="dxa" w:w="2448"/>
            <w:vAlign w:val="top"/>
            <w:tcMar>
              <w:top w:w="80" w:type="dxa"/>
              <w:start w:w="90" w:type="dxa"/>
              <w:bottom w:w="80" w:type="dxa"/>
              <w:end w:w="90" w:type="dxa"/>
            </w:tcMar>
          </w:tcPr>
          <w:p>
            <w:r>
              <w:rPr>
                <w:sz w:val="17"/>
              </w:rPr>
              <w:t>Hand-editing generated JSON-LD/docs</w:t>
            </w:r>
          </w:p>
        </w:tc>
        <w:tc>
          <w:tcPr>
            <w:tcW w:type="dxa" w:w="4320"/>
            <w:vAlign w:val="top"/>
            <w:tcMar>
              <w:top w:w="80" w:type="dxa"/>
              <w:start w:w="90" w:type="dxa"/>
              <w:bottom w:w="80" w:type="dxa"/>
              <w:end w:w="90" w:type="dxa"/>
            </w:tcMar>
          </w:tcPr>
          <w:p>
            <w:r>
              <w:rPr>
                <w:sz w:val="17"/>
              </w:rPr>
              <w:t>Creates drift between representations</w:t>
            </w:r>
          </w:p>
        </w:tc>
        <w:tc>
          <w:tcPr>
            <w:tcW w:type="dxa" w:w="3456"/>
            <w:vAlign w:val="top"/>
            <w:tcMar>
              <w:top w:w="80" w:type="dxa"/>
              <w:start w:w="90" w:type="dxa"/>
              <w:bottom w:w="80" w:type="dxa"/>
              <w:end w:w="90" w:type="dxa"/>
            </w:tcMar>
          </w:tcPr>
          <w:p>
            <w:r>
              <w:rPr>
                <w:sz w:val="17"/>
              </w:rPr>
              <w:t>Generate from canonical Turtle</w:t>
            </w:r>
          </w:p>
        </w:tc>
      </w:tr>
      <w:tr>
        <w:tc>
          <w:tcPr>
            <w:tcW w:type="dxa" w:w="2448"/>
            <w:vAlign w:val="top"/>
            <w:tcMar>
              <w:top w:w="80" w:type="dxa"/>
              <w:start w:w="90" w:type="dxa"/>
              <w:bottom w:w="80" w:type="dxa"/>
              <w:end w:w="90" w:type="dxa"/>
            </w:tcMar>
          </w:tcPr>
          <w:p>
            <w:r>
              <w:rPr>
                <w:sz w:val="17"/>
              </w:rPr>
              <w:t>Using real customer data as samples</w:t>
            </w:r>
          </w:p>
        </w:tc>
        <w:tc>
          <w:tcPr>
            <w:tcW w:type="dxa" w:w="4320"/>
            <w:vAlign w:val="top"/>
            <w:tcMar>
              <w:top w:w="80" w:type="dxa"/>
              <w:start w:w="90" w:type="dxa"/>
              <w:bottom w:w="80" w:type="dxa"/>
              <w:end w:w="90" w:type="dxa"/>
            </w:tcMar>
          </w:tcPr>
          <w:p>
            <w:r>
              <w:rPr>
                <w:sz w:val="17"/>
              </w:rPr>
              <w:t>Creates privacy/security exposure</w:t>
            </w:r>
          </w:p>
        </w:tc>
        <w:tc>
          <w:tcPr>
            <w:tcW w:type="dxa" w:w="3456"/>
            <w:vAlign w:val="top"/>
            <w:tcMar>
              <w:top w:w="80" w:type="dxa"/>
              <w:start w:w="90" w:type="dxa"/>
              <w:bottom w:w="80" w:type="dxa"/>
              <w:end w:w="90" w:type="dxa"/>
            </w:tcMar>
          </w:tcPr>
          <w:p>
            <w:r>
              <w:rPr>
                <w:sz w:val="17"/>
              </w:rPr>
              <w:t>Synthetic/de-identified fixtures</w:t>
            </w:r>
          </w:p>
        </w:tc>
      </w:tr>
      <w:tr>
        <w:tc>
          <w:tcPr>
            <w:tcW w:type="dxa" w:w="2448"/>
            <w:vAlign w:val="top"/>
            <w:tcMar>
              <w:top w:w="80" w:type="dxa"/>
              <w:start w:w="90" w:type="dxa"/>
              <w:bottom w:w="80" w:type="dxa"/>
              <w:end w:w="90" w:type="dxa"/>
            </w:tcMar>
          </w:tcPr>
          <w:p>
            <w:r>
              <w:rPr>
                <w:sz w:val="17"/>
              </w:rPr>
              <w:t>LLM-generated ontology merged without review</w:t>
            </w:r>
          </w:p>
        </w:tc>
        <w:tc>
          <w:tcPr>
            <w:tcW w:type="dxa" w:w="4320"/>
            <w:vAlign w:val="top"/>
            <w:tcMar>
              <w:top w:w="80" w:type="dxa"/>
              <w:start w:w="90" w:type="dxa"/>
              <w:bottom w:w="80" w:type="dxa"/>
              <w:end w:w="90" w:type="dxa"/>
            </w:tcMar>
          </w:tcPr>
          <w:p>
            <w:r>
              <w:rPr>
                <w:sz w:val="17"/>
              </w:rPr>
              <w:t>Can mint duplicates, wrong axioms or unstable names</w:t>
            </w:r>
          </w:p>
        </w:tc>
        <w:tc>
          <w:tcPr>
            <w:tcW w:type="dxa" w:w="3456"/>
            <w:vAlign w:val="top"/>
            <w:tcMar>
              <w:top w:w="80" w:type="dxa"/>
              <w:start w:w="90" w:type="dxa"/>
              <w:bottom w:w="80" w:type="dxa"/>
              <w:end w:w="90" w:type="dxa"/>
            </w:tcMar>
          </w:tcPr>
          <w:p>
            <w:r>
              <w:rPr>
                <w:sz w:val="17"/>
              </w:rPr>
              <w:t>Treat AI output as a draft; run all human and automated gates</w:t>
            </w:r>
          </w:p>
        </w:tc>
      </w:tr>
    </w:tbl>
    <w:p>
      <w:pPr>
        <w:spacing w:after="20"/>
      </w:pPr>
    </w:p>
    <w:p>
      <w:r>
        <w:br w:type="page"/>
      </w:r>
    </w:p>
    <w:p>
      <w:pPr>
        <w:pStyle w:val="Heading1"/>
      </w:pPr>
      <w:r>
        <w:t>25. Exception and Waiver Process</w:t>
      </w:r>
    </w:p>
    <w:p>
      <w:r>
        <w:t>Standards exceptions are allowed only when the team can show that conforming would materially harm interoperability, performance, regulatory compliance or delivery and no compliant alternative is practical. Convenience is not a sufficient reason.</w:t>
      </w:r>
    </w:p>
    <w:p>
      <w:pPr>
        <w:ind w:left="216" w:hanging="216"/>
      </w:pPr>
      <w:r>
        <w:rPr>
          <w:b/>
        </w:rPr>
        <w:t xml:space="preserve">1. </w:t>
      </w:r>
      <w:r>
        <w:t>Create a written exception request identifying the exact rule ID (for example NS-3 or SH-6).</w:t>
      </w:r>
    </w:p>
    <w:p>
      <w:pPr>
        <w:ind w:left="216" w:hanging="216"/>
      </w:pPr>
      <w:r>
        <w:rPr>
          <w:b/>
        </w:rPr>
        <w:t xml:space="preserve">2. </w:t>
      </w:r>
      <w:r>
        <w:t>Describe business/technical justification, alternatives considered and why they were rejected.</w:t>
      </w:r>
    </w:p>
    <w:p>
      <w:pPr>
        <w:ind w:left="216" w:hanging="216"/>
      </w:pPr>
      <w:r>
        <w:rPr>
          <w:b/>
        </w:rPr>
        <w:t xml:space="preserve">3. </w:t>
      </w:r>
      <w:r>
        <w:t>Document scope: affected module, versions, consumers and environments.</w:t>
      </w:r>
    </w:p>
    <w:p>
      <w:pPr>
        <w:ind w:left="216" w:hanging="216"/>
      </w:pPr>
      <w:r>
        <w:rPr>
          <w:b/>
        </w:rPr>
        <w:t xml:space="preserve">4. </w:t>
      </w:r>
      <w:r>
        <w:t>Document risk: interoperability, reasoning, query compatibility, security and maintenance impact.</w:t>
      </w:r>
    </w:p>
    <w:p>
      <w:pPr>
        <w:ind w:left="216" w:hanging="216"/>
      </w:pPr>
      <w:r>
        <w:rPr>
          <w:b/>
        </w:rPr>
        <w:t xml:space="preserve">5. </w:t>
      </w:r>
      <w:r>
        <w:t>Define compensating controls and an expiration/review date.</w:t>
      </w:r>
    </w:p>
    <w:p>
      <w:pPr>
        <w:ind w:left="216" w:hanging="216"/>
      </w:pPr>
      <w:r>
        <w:rPr>
          <w:b/>
        </w:rPr>
        <w:t xml:space="preserve">6. </w:t>
      </w:r>
      <w:r>
        <w:t>Obtain Module Steward + Enterprise Ontology Architect approval; Governance Board approval is required for namespace/foundation/breaking policy exceptions.</w:t>
      </w:r>
    </w:p>
    <w:p>
      <w:pPr>
        <w:ind w:left="216" w:hanging="216"/>
      </w:pPr>
      <w:r>
        <w:rPr>
          <w:b/>
        </w:rPr>
        <w:t xml:space="preserve">7. </w:t>
      </w:r>
      <w:r>
        <w:t>Record the waiver in the repository and CI configuration so deviations are visible and intentional rather than silently ignored.</w:t>
      </w:r>
    </w:p>
    <w:p>
      <w:r>
        <w:br w:type="page"/>
      </w:r>
    </w:p>
    <w:p>
      <w:pPr>
        <w:pStyle w:val="Heading1"/>
      </w:pPr>
      <w:r>
        <w:t>Appendix A. Canonical Turtle Module Template</w:t>
      </w:r>
    </w:p>
    <w:tbl>
      <w:tblPr>
        <w:tblW w:type="auto" w:w="0"/>
        <w:jc w:val="center"/>
        <w:tblLook w:firstColumn="1" w:firstRow="1" w:lastColumn="0" w:lastRow="0" w:noHBand="0" w:noVBand="1" w:val="04A0"/>
      </w:tblPr>
      <w:tblGrid>
        <w:gridCol w:w="10080"/>
      </w:tblGrid>
      <w:tr>
        <w:tc>
          <w:tcPr>
            <w:tcW w:type="dxa" w:w="10080"/>
            <w:shd w:fill="F3F4F6"/>
            <w:tcMar>
              <w:top w:w="90" w:type="dxa"/>
              <w:start w:w="130" w:type="dxa"/>
              <w:bottom w:w="90" w:type="dxa"/>
              <w:end w:w="130" w:type="dxa"/>
            </w:tcMar>
          </w:tcPr>
          <w:p>
            <w:pPr>
              <w:spacing w:after="0"/>
            </w:pPr>
            <w:r>
              <w:rPr>
                <w:rFonts w:ascii="Courier New" w:hAnsi="Courier New"/>
                <w:sz w:val="17"/>
              </w:rPr>
              <w:t># baseURI: https://data.chubb.com/ontology/ins/policy/</w:t>
            </w:r>
            <w:r>
              <w:br/>
            </w:r>
            <w:r>
              <w:rPr>
                <w:rFonts w:ascii="Courier New" w:hAnsi="Courier New"/>
                <w:sz w:val="17"/>
              </w:rPr>
              <w:t># prefix:  policy</w:t>
            </w:r>
            <w:r>
              <w:br/>
            </w:r>
            <w:r>
              <w:rPr>
                <w:rFonts w:ascii="Courier New" w:hAnsi="Courier New"/>
                <w:sz w:val="17"/>
              </w:rPr>
              <w:t># imports: https://data.chubb.com/ontology/fnd/core/</w:t>
            </w:r>
            <w:r>
              <w:br/>
            </w:r>
            <w:r>
              <w:rPr>
                <w:rFonts w:ascii="Courier New" w:hAnsi="Courier New"/>
                <w:sz w:val="17"/>
              </w:rPr>
            </w:r>
            <w:r>
              <w:br/>
            </w:r>
            <w:r>
              <w:rPr>
                <w:rFonts w:ascii="Courier New" w:hAnsi="Courier New"/>
                <w:sz w:val="17"/>
              </w:rPr>
              <w:t>@prefix :      &lt;https://data.chubb.com/ontology/ins/policy/&gt; .</w:t>
            </w:r>
            <w:r>
              <w:br/>
            </w:r>
            <w:r>
              <w:rPr>
                <w:rFonts w:ascii="Courier New" w:hAnsi="Courier New"/>
                <w:sz w:val="17"/>
              </w:rPr>
              <w:t>@prefix policy:&lt;https://data.chubb.com/ontology/ins/policy/&gt; .</w:t>
            </w:r>
            <w:r>
              <w:br/>
            </w:r>
            <w:r>
              <w:rPr>
                <w:rFonts w:ascii="Courier New" w:hAnsi="Courier New"/>
                <w:sz w:val="17"/>
              </w:rPr>
              <w:t>@prefix core:  &lt;https://data.chubb.com/ontology/fnd/core/&gt; .</w:t>
            </w:r>
            <w:r>
              <w:br/>
            </w:r>
            <w:r>
              <w:rPr>
                <w:rFonts w:ascii="Courier New" w:hAnsi="Courier New"/>
                <w:sz w:val="17"/>
              </w:rPr>
              <w:t>@prefix dct:   &lt;http://purl.org/dc/terms/&gt; .</w:t>
            </w:r>
            <w:r>
              <w:br/>
            </w:r>
            <w:r>
              <w:rPr>
                <w:rFonts w:ascii="Courier New" w:hAnsi="Courier New"/>
                <w:sz w:val="17"/>
              </w:rPr>
              <w:t>@prefix owl:   &lt;http://www.w3.org/2002/07/owl#&gt; .</w:t>
            </w:r>
            <w:r>
              <w:br/>
            </w:r>
            <w:r>
              <w:rPr>
                <w:rFonts w:ascii="Courier New" w:hAnsi="Courier New"/>
                <w:sz w:val="17"/>
              </w:rPr>
              <w:t>@prefix rdf:   &lt;http://www.w3.org/1999/02/22-rdf-syntax-ns#&gt; .</w:t>
            </w:r>
            <w:r>
              <w:br/>
            </w:r>
            <w:r>
              <w:rPr>
                <w:rFonts w:ascii="Courier New" w:hAnsi="Courier New"/>
                <w:sz w:val="17"/>
              </w:rPr>
              <w:t>@prefix rdfs:  &lt;http://www.w3.org/2000/01/rdf-schema#&gt; .</w:t>
            </w:r>
            <w:r>
              <w:br/>
            </w:r>
            <w:r>
              <w:rPr>
                <w:rFonts w:ascii="Courier New" w:hAnsi="Courier New"/>
                <w:sz w:val="17"/>
              </w:rPr>
              <w:t>@prefix skos:  &lt;http://www.w3.org/2004/02/skos/core#&gt; .</w:t>
            </w:r>
            <w:r>
              <w:br/>
            </w:r>
            <w:r>
              <w:rPr>
                <w:rFonts w:ascii="Courier New" w:hAnsi="Courier New"/>
                <w:sz w:val="17"/>
              </w:rPr>
              <w:t>@prefix vann:  &lt;http://purl.org/vocab/vann/&gt; .</w:t>
            </w:r>
            <w:r>
              <w:br/>
            </w:r>
            <w:r>
              <w:rPr>
                <w:rFonts w:ascii="Courier New" w:hAnsi="Courier New"/>
                <w:sz w:val="17"/>
              </w:rPr>
              <w:t>@prefix xsd:   &lt;http://www.w3.org/2001/XMLSchema#&gt; .</w:t>
            </w:r>
            <w:r>
              <w:br/>
            </w:r>
            <w:r>
              <w:rPr>
                <w:rFonts w:ascii="Courier New" w:hAnsi="Courier New"/>
                <w:sz w:val="17"/>
              </w:rPr>
            </w:r>
            <w:r>
              <w:br/>
            </w:r>
            <w:r>
              <w:rPr>
                <w:rFonts w:ascii="Courier New" w:hAnsi="Courier New"/>
                <w:sz w:val="17"/>
              </w:rPr>
              <w:t>&lt;https://data.chubb.com/ontology/ins/policy/&gt;</w:t>
            </w:r>
            <w:r>
              <w:br/>
            </w:r>
            <w:r>
              <w:rPr>
                <w:rFonts w:ascii="Courier New" w:hAnsi="Courier New"/>
                <w:sz w:val="17"/>
              </w:rPr>
              <w:t xml:space="preserve">    a owl:Ontology ;</w:t>
            </w:r>
            <w:r>
              <w:br/>
            </w:r>
            <w:r>
              <w:rPr>
                <w:rFonts w:ascii="Courier New" w:hAnsi="Courier New"/>
                <w:sz w:val="17"/>
              </w:rPr>
              <w:t xml:space="preserve">    dct:title "Policy Ontology"@en ;</w:t>
            </w:r>
            <w:r>
              <w:br/>
            </w:r>
            <w:r>
              <w:rPr>
                <w:rFonts w:ascii="Courier New" w:hAnsi="Courier New"/>
                <w:sz w:val="17"/>
              </w:rPr>
              <w:t xml:space="preserve">    dct:description "Enterprise semantic model for insurance policies."@en ;</w:t>
            </w:r>
            <w:r>
              <w:br/>
            </w:r>
            <w:r>
              <w:rPr>
                <w:rFonts w:ascii="Courier New" w:hAnsi="Courier New"/>
                <w:sz w:val="17"/>
              </w:rPr>
              <w:t xml:space="preserve">    dct:creator "Enterprise Ontology Team" ;</w:t>
            </w:r>
            <w:r>
              <w:br/>
            </w:r>
            <w:r>
              <w:rPr>
                <w:rFonts w:ascii="Courier New" w:hAnsi="Courier New"/>
                <w:sz w:val="17"/>
              </w:rPr>
              <w:t xml:space="preserve">    dct:created "2026-08-19"^^xsd:date ;</w:t>
            </w:r>
            <w:r>
              <w:br/>
            </w:r>
            <w:r>
              <w:rPr>
                <w:rFonts w:ascii="Courier New" w:hAnsi="Courier New"/>
                <w:sz w:val="17"/>
              </w:rPr>
              <w:t xml:space="preserve">    dct:modified "2026-08-19"^^xsd:date ;</w:t>
            </w:r>
            <w:r>
              <w:br/>
            </w:r>
            <w:r>
              <w:rPr>
                <w:rFonts w:ascii="Courier New" w:hAnsi="Courier New"/>
                <w:sz w:val="17"/>
              </w:rPr>
              <w:t xml:space="preserve">    owl:imports &lt;https://data.chubb.com/ontology/fnd/core/&gt; ;</w:t>
            </w:r>
            <w:r>
              <w:br/>
            </w:r>
            <w:r>
              <w:rPr>
                <w:rFonts w:ascii="Courier New" w:hAnsi="Courier New"/>
                <w:sz w:val="17"/>
              </w:rPr>
              <w:t xml:space="preserve">    owl:versionIRI &lt;https://data.chubb.com/ontology/ins/policy/1.0.0&gt; ;</w:t>
            </w:r>
            <w:r>
              <w:br/>
            </w:r>
            <w:r>
              <w:rPr>
                <w:rFonts w:ascii="Courier New" w:hAnsi="Courier New"/>
                <w:sz w:val="17"/>
              </w:rPr>
              <w:t xml:space="preserve">    owl:versionInfo "1.0.0" ;</w:t>
            </w:r>
            <w:r>
              <w:br/>
            </w:r>
            <w:r>
              <w:rPr>
                <w:rFonts w:ascii="Courier New" w:hAnsi="Courier New"/>
                <w:sz w:val="17"/>
              </w:rPr>
              <w:t xml:space="preserve">    vann:preferredNamespacePrefix "policy" ;</w:t>
            </w:r>
            <w:r>
              <w:br/>
            </w:r>
            <w:r>
              <w:rPr>
                <w:rFonts w:ascii="Courier New" w:hAnsi="Courier New"/>
                <w:sz w:val="17"/>
              </w:rPr>
              <w:t xml:space="preserve">    vann:preferredNamespaceUri &lt;https://data.chubb.com/ontology/ins/policy/&gt; .</w:t>
            </w:r>
            <w:r>
              <w:br/>
            </w:r>
            <w:r>
              <w:rPr>
                <w:rFonts w:ascii="Courier New" w:hAnsi="Courier New"/>
                <w:sz w:val="17"/>
              </w:rPr>
            </w:r>
            <w:r>
              <w:br/>
            </w:r>
            <w:r>
              <w:rPr>
                <w:rFonts w:ascii="Courier New" w:hAnsi="Courier New"/>
                <w:sz w:val="17"/>
              </w:rPr>
              <w:t>policy:Policy</w:t>
            </w:r>
            <w:r>
              <w:br/>
            </w:r>
            <w:r>
              <w:rPr>
                <w:rFonts w:ascii="Courier New" w:hAnsi="Courier New"/>
                <w:sz w:val="17"/>
              </w:rPr>
              <w:t xml:space="preserve">    a owl:Class ;</w:t>
            </w:r>
            <w:r>
              <w:br/>
            </w:r>
            <w:r>
              <w:rPr>
                <w:rFonts w:ascii="Courier New" w:hAnsi="Courier New"/>
                <w:sz w:val="17"/>
              </w:rPr>
              <w:t xml:space="preserve">    rdfs:label "Policy"@en ;</w:t>
            </w:r>
            <w:r>
              <w:br/>
            </w:r>
            <w:r>
              <w:rPr>
                <w:rFonts w:ascii="Courier New" w:hAnsi="Courier New"/>
                <w:sz w:val="17"/>
              </w:rPr>
              <w:t xml:space="preserve">    skos:definition "A contract of insurance between an insurer and a policyholder."@en .</w:t>
            </w:r>
            <w:r>
              <w:br/>
            </w:r>
            <w:r>
              <w:rPr>
                <w:rFonts w:ascii="Courier New" w:hAnsi="Courier New"/>
                <w:sz w:val="17"/>
              </w:rPr>
            </w:r>
            <w:r>
              <w:br/>
            </w:r>
            <w:r>
              <w:rPr>
                <w:rFonts w:ascii="Courier New" w:hAnsi="Courier New"/>
                <w:sz w:val="17"/>
              </w:rPr>
              <w:t>policy:hasPolicyholder</w:t>
            </w:r>
            <w:r>
              <w:br/>
            </w:r>
            <w:r>
              <w:rPr>
                <w:rFonts w:ascii="Courier New" w:hAnsi="Courier New"/>
                <w:sz w:val="17"/>
              </w:rPr>
              <w:t xml:space="preserve">    a owl:ObjectProperty ;</w:t>
            </w:r>
            <w:r>
              <w:br/>
            </w:r>
            <w:r>
              <w:rPr>
                <w:rFonts w:ascii="Courier New" w:hAnsi="Courier New"/>
                <w:sz w:val="17"/>
              </w:rPr>
              <w:t xml:space="preserve">    rdfs:label "has policyholder"@en ;</w:t>
            </w:r>
            <w:r>
              <w:br/>
            </w:r>
            <w:r>
              <w:rPr>
                <w:rFonts w:ascii="Courier New" w:hAnsi="Courier New"/>
                <w:sz w:val="17"/>
              </w:rPr>
              <w:t xml:space="preserve">    rdfs:domain policy:Policy ;</w:t>
            </w:r>
            <w:r>
              <w:br/>
            </w:r>
            <w:r>
              <w:rPr>
                <w:rFonts w:ascii="Courier New" w:hAnsi="Courier New"/>
                <w:sz w:val="17"/>
              </w:rPr>
              <w:t xml:space="preserve">    rdfs:range core:Party .</w:t>
            </w:r>
            <w:r>
              <w:br/>
            </w:r>
            <w:r>
              <w:rPr>
                <w:rFonts w:ascii="Courier New" w:hAnsi="Courier New"/>
                <w:sz w:val="17"/>
              </w:rPr>
            </w:r>
            <w:r>
              <w:br/>
            </w:r>
            <w:r>
              <w:rPr>
                <w:rFonts w:ascii="Courier New" w:hAnsi="Courier New"/>
                <w:sz w:val="17"/>
              </w:rPr>
              <w:t>policy:policyNumber</w:t>
            </w:r>
            <w:r>
              <w:br/>
            </w:r>
            <w:r>
              <w:rPr>
                <w:rFonts w:ascii="Courier New" w:hAnsi="Courier New"/>
                <w:sz w:val="17"/>
              </w:rPr>
              <w:t xml:space="preserve">    a owl:DatatypeProperty ;</w:t>
            </w:r>
            <w:r>
              <w:br/>
            </w:r>
            <w:r>
              <w:rPr>
                <w:rFonts w:ascii="Courier New" w:hAnsi="Courier New"/>
                <w:sz w:val="17"/>
              </w:rPr>
              <w:t xml:space="preserve">    rdfs:label "policy number"@en ;</w:t>
            </w:r>
            <w:r>
              <w:br/>
            </w:r>
            <w:r>
              <w:rPr>
                <w:rFonts w:ascii="Courier New" w:hAnsi="Courier New"/>
                <w:sz w:val="17"/>
              </w:rPr>
              <w:t xml:space="preserve">    rdfs:domain policy:Policy ;</w:t>
            </w:r>
            <w:r>
              <w:br/>
            </w:r>
            <w:r>
              <w:rPr>
                <w:rFonts w:ascii="Courier New" w:hAnsi="Courier New"/>
                <w:sz w:val="17"/>
              </w:rPr>
              <w:t xml:space="preserve">    rdfs:range xsd:string .</w:t>
            </w:r>
          </w:p>
        </w:tc>
      </w:tr>
    </w:tbl>
    <w:p>
      <w:pPr>
        <w:spacing w:after="20"/>
      </w:pPr>
    </w:p>
    <w:p>
      <w:pPr>
        <w:pStyle w:val="Heading1"/>
      </w:pPr>
      <w:r>
        <w:t>Appendix B. Canonical SHACL Template</w:t>
      </w:r>
    </w:p>
    <w:tbl>
      <w:tblPr>
        <w:tblW w:type="auto" w:w="0"/>
        <w:jc w:val="center"/>
        <w:tblLook w:firstColumn="1" w:firstRow="1" w:lastColumn="0" w:lastRow="0" w:noHBand="0" w:noVBand="1" w:val="04A0"/>
      </w:tblPr>
      <w:tblGrid>
        <w:gridCol w:w="10080"/>
      </w:tblGrid>
      <w:tr>
        <w:tc>
          <w:tcPr>
            <w:tcW w:type="dxa" w:w="10080"/>
            <w:shd w:fill="F3F4F6"/>
            <w:tcMar>
              <w:top w:w="90" w:type="dxa"/>
              <w:start w:w="130" w:type="dxa"/>
              <w:bottom w:w="90" w:type="dxa"/>
              <w:end w:w="130" w:type="dxa"/>
            </w:tcMar>
          </w:tcPr>
          <w:p>
            <w:pPr>
              <w:spacing w:after="0"/>
            </w:pPr>
            <w:r>
              <w:rPr>
                <w:rFonts w:ascii="Courier New" w:hAnsi="Courier New"/>
                <w:sz w:val="17"/>
              </w:rPr>
              <w:t>@prefix shape:  &lt;https://data.chubb.com/shapes/ins/policy/&gt; .</w:t>
            </w:r>
            <w:r>
              <w:br/>
            </w:r>
            <w:r>
              <w:rPr>
                <w:rFonts w:ascii="Courier New" w:hAnsi="Courier New"/>
                <w:sz w:val="17"/>
              </w:rPr>
              <w:t>@prefix policy: &lt;https://data.chubb.com/ontology/ins/policy/&gt; .</w:t>
            </w:r>
            <w:r>
              <w:br/>
            </w:r>
            <w:r>
              <w:rPr>
                <w:rFonts w:ascii="Courier New" w:hAnsi="Courier New"/>
                <w:sz w:val="17"/>
              </w:rPr>
              <w:t>@prefix sh:     &lt;http://www.w3.org/ns/shacl#&gt; .</w:t>
            </w:r>
            <w:r>
              <w:br/>
            </w:r>
            <w:r>
              <w:rPr>
                <w:rFonts w:ascii="Courier New" w:hAnsi="Courier New"/>
                <w:sz w:val="17"/>
              </w:rPr>
              <w:t>@prefix xsd:    &lt;http://www.w3.org/2001/XMLSchema#&gt; .</w:t>
            </w:r>
            <w:r>
              <w:br/>
            </w:r>
            <w:r>
              <w:rPr>
                <w:rFonts w:ascii="Courier New" w:hAnsi="Courier New"/>
                <w:sz w:val="17"/>
              </w:rPr>
            </w:r>
            <w:r>
              <w:br/>
            </w:r>
            <w:r>
              <w:rPr>
                <w:rFonts w:ascii="Courier New" w:hAnsi="Courier New"/>
                <w:sz w:val="17"/>
              </w:rPr>
              <w:t>shape:PolicyShape</w:t>
            </w:r>
            <w:r>
              <w:br/>
            </w:r>
            <w:r>
              <w:rPr>
                <w:rFonts w:ascii="Courier New" w:hAnsi="Courier New"/>
                <w:sz w:val="17"/>
              </w:rPr>
              <w:t xml:space="preserve">    a sh:NodeShape ;</w:t>
            </w:r>
            <w:r>
              <w:br/>
            </w:r>
            <w:r>
              <w:rPr>
                <w:rFonts w:ascii="Courier New" w:hAnsi="Courier New"/>
                <w:sz w:val="17"/>
              </w:rPr>
              <w:t xml:space="preserve">    sh:targetClass policy:Policy ;</w:t>
            </w:r>
            <w:r>
              <w:br/>
            </w:r>
            <w:r>
              <w:rPr>
                <w:rFonts w:ascii="Courier New" w:hAnsi="Courier New"/>
                <w:sz w:val="17"/>
              </w:rPr>
              <w:t xml:space="preserve">    sh:message "Policy data must satisfy the enterprise Policy contract."@en ;</w:t>
            </w:r>
            <w:r>
              <w:br/>
            </w:r>
            <w:r>
              <w:rPr>
                <w:rFonts w:ascii="Courier New" w:hAnsi="Courier New"/>
                <w:sz w:val="17"/>
              </w:rPr>
              <w:t xml:space="preserve">    sh:property [</w:t>
            </w:r>
            <w:r>
              <w:br/>
            </w:r>
            <w:r>
              <w:rPr>
                <w:rFonts w:ascii="Courier New" w:hAnsi="Courier New"/>
                <w:sz w:val="17"/>
              </w:rPr>
              <w:t xml:space="preserve">        sh:path policy:policyNumber ;</w:t>
            </w:r>
            <w:r>
              <w:br/>
            </w:r>
            <w:r>
              <w:rPr>
                <w:rFonts w:ascii="Courier New" w:hAnsi="Courier New"/>
                <w:sz w:val="17"/>
              </w:rPr>
              <w:t xml:space="preserve">        sh:minCount 1 ;</w:t>
            </w:r>
            <w:r>
              <w:br/>
            </w:r>
            <w:r>
              <w:rPr>
                <w:rFonts w:ascii="Courier New" w:hAnsi="Courier New"/>
                <w:sz w:val="17"/>
              </w:rPr>
              <w:t xml:space="preserve">        sh:maxCount 1 ;</w:t>
            </w:r>
            <w:r>
              <w:br/>
            </w:r>
            <w:r>
              <w:rPr>
                <w:rFonts w:ascii="Courier New" w:hAnsi="Courier New"/>
                <w:sz w:val="17"/>
              </w:rPr>
              <w:t xml:space="preserve">        sh:datatype xsd:string ;</w:t>
            </w:r>
            <w:r>
              <w:br/>
            </w:r>
            <w:r>
              <w:rPr>
                <w:rFonts w:ascii="Courier New" w:hAnsi="Courier New"/>
                <w:sz w:val="17"/>
              </w:rPr>
              <w:t xml:space="preserve">        sh:minLength 1 ;</w:t>
            </w:r>
            <w:r>
              <w:br/>
            </w:r>
            <w:r>
              <w:rPr>
                <w:rFonts w:ascii="Courier New" w:hAnsi="Courier New"/>
                <w:sz w:val="17"/>
              </w:rPr>
              <w:t xml:space="preserve">        sh:message "A Policy must have exactly one non-empty policy number."@en</w:t>
            </w:r>
            <w:r>
              <w:br/>
            </w:r>
            <w:r>
              <w:rPr>
                <w:rFonts w:ascii="Courier New" w:hAnsi="Courier New"/>
                <w:sz w:val="17"/>
              </w:rPr>
              <w:t xml:space="preserve">    ] .</w:t>
            </w:r>
          </w:p>
        </w:tc>
      </w:tr>
    </w:tbl>
    <w:p>
      <w:pPr>
        <w:spacing w:after="20"/>
      </w:pPr>
    </w:p>
    <w:p>
      <w:pPr>
        <w:pStyle w:val="Heading1"/>
      </w:pPr>
      <w:r>
        <w:t>Appendix C. Canonical SKOS Template</w:t>
      </w:r>
    </w:p>
    <w:tbl>
      <w:tblPr>
        <w:tblW w:type="auto" w:w="0"/>
        <w:jc w:val="center"/>
        <w:tblLook w:firstColumn="1" w:firstRow="1" w:lastColumn="0" w:lastRow="0" w:noHBand="0" w:noVBand="1" w:val="04A0"/>
      </w:tblPr>
      <w:tblGrid>
        <w:gridCol w:w="10080"/>
      </w:tblGrid>
      <w:tr>
        <w:tc>
          <w:tcPr>
            <w:tcW w:type="dxa" w:w="10080"/>
            <w:shd w:fill="F3F4F6"/>
            <w:tcMar>
              <w:top w:w="90" w:type="dxa"/>
              <w:start w:w="130" w:type="dxa"/>
              <w:bottom w:w="90" w:type="dxa"/>
              <w:end w:w="130" w:type="dxa"/>
            </w:tcMar>
          </w:tcPr>
          <w:p>
            <w:pPr>
              <w:spacing w:after="0"/>
            </w:pPr>
            <w:r>
              <w:rPr>
                <w:rFonts w:ascii="Courier New" w:hAnsi="Courier New"/>
                <w:sz w:val="17"/>
              </w:rPr>
              <w:t>@prefix peril: &lt;https://data.chubb.com/vocabulary/ins/peril/&gt; .</w:t>
            </w:r>
            <w:r>
              <w:br/>
            </w:r>
            <w:r>
              <w:rPr>
                <w:rFonts w:ascii="Courier New" w:hAnsi="Courier New"/>
                <w:sz w:val="17"/>
              </w:rPr>
              <w:t>@prefix dct:   &lt;http://purl.org/dc/terms/&gt; .</w:t>
            </w:r>
            <w:r>
              <w:br/>
            </w:r>
            <w:r>
              <w:rPr>
                <w:rFonts w:ascii="Courier New" w:hAnsi="Courier New"/>
                <w:sz w:val="17"/>
              </w:rPr>
              <w:t>@prefix owl:   &lt;http://www.w3.org/2002/07/owl#&gt; .</w:t>
            </w:r>
            <w:r>
              <w:br/>
            </w:r>
            <w:r>
              <w:rPr>
                <w:rFonts w:ascii="Courier New" w:hAnsi="Courier New"/>
                <w:sz w:val="17"/>
              </w:rPr>
              <w:t>@prefix skos:  &lt;http://www.w3.org/2004/02/skos/core#&gt; .</w:t>
            </w:r>
            <w:r>
              <w:br/>
            </w:r>
            <w:r>
              <w:rPr>
                <w:rFonts w:ascii="Courier New" w:hAnsi="Courier New"/>
                <w:sz w:val="17"/>
              </w:rPr>
              <w:t>@prefix xsd:   &lt;http://www.w3.org/2001/XMLSchema#&gt; .</w:t>
            </w:r>
            <w:r>
              <w:br/>
            </w:r>
            <w:r>
              <w:rPr>
                <w:rFonts w:ascii="Courier New" w:hAnsi="Courier New"/>
                <w:sz w:val="17"/>
              </w:rPr>
            </w:r>
            <w:r>
              <w:br/>
            </w:r>
            <w:r>
              <w:rPr>
                <w:rFonts w:ascii="Courier New" w:hAnsi="Courier New"/>
                <w:sz w:val="17"/>
              </w:rPr>
              <w:t>peril:</w:t>
            </w:r>
            <w:r>
              <w:br/>
            </w:r>
            <w:r>
              <w:rPr>
                <w:rFonts w:ascii="Courier New" w:hAnsi="Courier New"/>
                <w:sz w:val="17"/>
              </w:rPr>
              <w:t xml:space="preserve">    a skos:ConceptScheme ;</w:t>
            </w:r>
            <w:r>
              <w:br/>
            </w:r>
            <w:r>
              <w:rPr>
                <w:rFonts w:ascii="Courier New" w:hAnsi="Courier New"/>
                <w:sz w:val="17"/>
              </w:rPr>
              <w:t xml:space="preserve">    dct:title "Enterprise Peril Types"@en ;</w:t>
            </w:r>
            <w:r>
              <w:br/>
            </w:r>
            <w:r>
              <w:rPr>
                <w:rFonts w:ascii="Courier New" w:hAnsi="Courier New"/>
                <w:sz w:val="17"/>
              </w:rPr>
              <w:t xml:space="preserve">    owl:versionInfo "1.0.0" .</w:t>
            </w:r>
            <w:r>
              <w:br/>
            </w:r>
            <w:r>
              <w:rPr>
                <w:rFonts w:ascii="Courier New" w:hAnsi="Courier New"/>
                <w:sz w:val="17"/>
              </w:rPr>
            </w:r>
            <w:r>
              <w:br/>
            </w:r>
            <w:r>
              <w:rPr>
                <w:rFonts w:ascii="Courier New" w:hAnsi="Courier New"/>
                <w:sz w:val="17"/>
              </w:rPr>
              <w:t>peril:Flood</w:t>
            </w:r>
            <w:r>
              <w:br/>
            </w:r>
            <w:r>
              <w:rPr>
                <w:rFonts w:ascii="Courier New" w:hAnsi="Courier New"/>
                <w:sz w:val="17"/>
              </w:rPr>
              <w:t xml:space="preserve">    a skos:Concept ;</w:t>
            </w:r>
            <w:r>
              <w:br/>
            </w:r>
            <w:r>
              <w:rPr>
                <w:rFonts w:ascii="Courier New" w:hAnsi="Courier New"/>
                <w:sz w:val="17"/>
              </w:rPr>
              <w:t xml:space="preserve">    skos:inScheme peril: ;</w:t>
            </w:r>
            <w:r>
              <w:br/>
            </w:r>
            <w:r>
              <w:rPr>
                <w:rFonts w:ascii="Courier New" w:hAnsi="Courier New"/>
                <w:sz w:val="17"/>
              </w:rPr>
              <w:t xml:space="preserve">    skos:prefLabel "Flood"@en ;</w:t>
            </w:r>
            <w:r>
              <w:br/>
            </w:r>
            <w:r>
              <w:rPr>
                <w:rFonts w:ascii="Courier New" w:hAnsi="Courier New"/>
                <w:sz w:val="17"/>
              </w:rPr>
              <w:t xml:space="preserve">    skos:notation "FLD" ;</w:t>
            </w:r>
            <w:r>
              <w:br/>
            </w:r>
            <w:r>
              <w:rPr>
                <w:rFonts w:ascii="Courier New" w:hAnsi="Courier New"/>
                <w:sz w:val="17"/>
              </w:rPr>
              <w:t xml:space="preserve">    skos:definition "A peril representing loss caused by flooding."@en .</w:t>
            </w:r>
          </w:p>
        </w:tc>
      </w:tr>
    </w:tbl>
    <w:p>
      <w:pPr>
        <w:spacing w:after="20"/>
      </w:pPr>
    </w:p>
    <w:p>
      <w:pPr>
        <w:pStyle w:val="Heading1"/>
      </w:pPr>
      <w:r>
        <w:t>Appendix D. Pull Request Review Checklist</w:t>
      </w:r>
    </w:p>
    <w:p>
      <w:pPr>
        <w:pStyle w:val="ListBullet"/>
      </w:pPr>
      <w:r>
        <w:t>[ ] Business requirement/CQ is clear and traceable.</w:t>
      </w:r>
    </w:p>
    <w:p>
      <w:pPr>
        <w:pStyle w:val="ListBullet"/>
      </w:pPr>
      <w:r>
        <w:t>[ ] Correct owning namespace/module selected.</w:t>
      </w:r>
    </w:p>
    <w:p>
      <w:pPr>
        <w:pStyle w:val="ListBullet"/>
      </w:pPr>
      <w:r>
        <w:t>[ ] No term duplicates an existing enterprise/external term unnecessarily.</w:t>
      </w:r>
    </w:p>
    <w:p>
      <w:pPr>
        <w:pStyle w:val="ListBullet"/>
      </w:pPr>
      <w:r>
        <w:t>[ ] Class/property names follow naming rules and definitions are business-readable.</w:t>
      </w:r>
    </w:p>
    <w:p>
      <w:pPr>
        <w:pStyle w:val="ListBullet"/>
      </w:pPr>
      <w:r>
        <w:t>[ ] Subclass relationships pass the "is-a" test.</w:t>
      </w:r>
    </w:p>
    <w:p>
      <w:pPr>
        <w:pStyle w:val="ListBullet"/>
      </w:pPr>
      <w:r>
        <w:t>[ ] OWL axioms are semantic, not disguised validation rules.</w:t>
      </w:r>
    </w:p>
    <w:p>
      <w:pPr>
        <w:pStyle w:val="ListBullet"/>
      </w:pPr>
      <w:r>
        <w:t>[ ] rdfs:domain/range are intended as inference.</w:t>
      </w:r>
    </w:p>
    <w:p>
      <w:pPr>
        <w:pStyle w:val="ListBullet"/>
      </w:pPr>
      <w:r>
        <w:t>[ ] Controlled values use SKOS.</w:t>
      </w:r>
    </w:p>
    <w:p>
      <w:pPr>
        <w:pStyle w:val="ListBullet"/>
      </w:pPr>
      <w:r>
        <w:t>[ ] SHACL constraints are in shapes files and have useful messages.</w:t>
      </w:r>
    </w:p>
    <w:p>
      <w:pPr>
        <w:pStyle w:val="ListBullet"/>
      </w:pPr>
      <w:r>
        <w:t>[ ] Imports are minimal, resolvable and acyclic.</w:t>
      </w:r>
    </w:p>
    <w:p>
      <w:pPr>
        <w:pStyle w:val="ListBullet"/>
      </w:pPr>
      <w:r>
        <w:t>[ ] External namespace terms were not re-minted or modified.</w:t>
      </w:r>
    </w:p>
    <w:p>
      <w:pPr>
        <w:pStyle w:val="ListBullet"/>
      </w:pPr>
      <w:r>
        <w:t>[ ] Namespace/base/prefix/version metadata are synchronized.</w:t>
      </w:r>
    </w:p>
    <w:p>
      <w:pPr>
        <w:pStyle w:val="ListBullet"/>
      </w:pPr>
      <w:r>
        <w:t>[ ] Valid and invalid sample fixtures are present where needed.</w:t>
      </w:r>
    </w:p>
    <w:p>
      <w:pPr>
        <w:pStyle w:val="ListBullet"/>
      </w:pPr>
      <w:r>
        <w:t>[ ] Accepted CQs pass.</w:t>
      </w:r>
    </w:p>
    <w:p>
      <w:pPr>
        <w:pStyle w:val="ListBullet"/>
      </w:pPr>
      <w:r>
        <w:t>[ ] Reasoner and SHACL pipelines pass.</w:t>
      </w:r>
    </w:p>
    <w:p>
      <w:pPr>
        <w:pStyle w:val="ListBullet"/>
      </w:pPr>
      <w:r>
        <w:t>[ ] Breaking/additive/editorial impact is correctly classified.</w:t>
      </w:r>
    </w:p>
    <w:p>
      <w:pPr>
        <w:pStyle w:val="ListBullet"/>
      </w:pPr>
      <w:r>
        <w:t>[ ] Changelog/deprecation notes are complete.</w:t>
      </w:r>
    </w:p>
    <w:p>
      <w:pPr>
        <w:pStyle w:val="ListBullet"/>
      </w:pPr>
      <w:r>
        <w:t>[ ] Security/privacy review confirms no sensitive fixture data.</w:t>
      </w:r>
    </w:p>
    <w:p>
      <w:pPr>
        <w:pStyle w:val="ListBullet"/>
      </w:pPr>
      <w:r>
        <w:t>[ ] Generated docs/context are reproducible.</w:t>
      </w:r>
    </w:p>
    <w:p>
      <w:pPr>
        <w:pStyle w:val="ListBullet"/>
      </w:pPr>
      <w:r>
        <w:t>[ ] Required ontology and SME approvals are recorded.</w:t>
      </w:r>
    </w:p>
    <w:p>
      <w:pPr>
        <w:pStyle w:val="Heading1"/>
      </w:pPr>
      <w:r>
        <w:t>Appendix E. Quick Reference for the Team</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2448"/>
            <w:shd w:fill="1F4E78"/>
            <w:vAlign w:val="center"/>
            <w:tcMar>
              <w:top w:w="80" w:type="dxa"/>
              <w:start w:w="90" w:type="dxa"/>
              <w:bottom w:w="80" w:type="dxa"/>
              <w:end w:w="90" w:type="dxa"/>
            </w:tcMar>
          </w:tcPr>
          <w:p>
            <w:r>
              <w:rPr>
                <w:b/>
                <w:color w:val="FFFFFF"/>
                <w:sz w:val="18"/>
              </w:rPr>
              <w:t>If you are creating...</w:t>
            </w:r>
          </w:p>
        </w:tc>
        <w:tc>
          <w:tcPr>
            <w:tcW w:type="dxa" w:w="2880"/>
            <w:shd w:fill="1F4E78"/>
            <w:vAlign w:val="center"/>
            <w:tcMar>
              <w:top w:w="80" w:type="dxa"/>
              <w:start w:w="90" w:type="dxa"/>
              <w:bottom w:w="80" w:type="dxa"/>
              <w:end w:w="90" w:type="dxa"/>
            </w:tcMar>
          </w:tcPr>
          <w:p>
            <w:r>
              <w:rPr>
                <w:b/>
                <w:color w:val="FFFFFF"/>
                <w:sz w:val="18"/>
              </w:rPr>
              <w:t>Put it here</w:t>
            </w:r>
          </w:p>
        </w:tc>
        <w:tc>
          <w:tcPr>
            <w:tcW w:type="dxa" w:w="1800"/>
            <w:shd w:fill="1F4E78"/>
            <w:vAlign w:val="center"/>
            <w:tcMar>
              <w:top w:w="80" w:type="dxa"/>
              <w:start w:w="90" w:type="dxa"/>
              <w:bottom w:w="80" w:type="dxa"/>
              <w:end w:w="90" w:type="dxa"/>
            </w:tcMar>
          </w:tcPr>
          <w:p>
            <w:r>
              <w:rPr>
                <w:b/>
                <w:color w:val="FFFFFF"/>
                <w:sz w:val="18"/>
              </w:rPr>
              <w:t>Use</w:t>
            </w:r>
          </w:p>
        </w:tc>
        <w:tc>
          <w:tcPr>
            <w:tcW w:type="dxa" w:w="3024"/>
            <w:shd w:fill="1F4E78"/>
            <w:vAlign w:val="center"/>
            <w:tcMar>
              <w:top w:w="80" w:type="dxa"/>
              <w:start w:w="90" w:type="dxa"/>
              <w:bottom w:w="80" w:type="dxa"/>
              <w:end w:w="90" w:type="dxa"/>
            </w:tcMar>
          </w:tcPr>
          <w:p>
            <w:r>
              <w:rPr>
                <w:b/>
                <w:color w:val="FFFFFF"/>
                <w:sz w:val="18"/>
              </w:rPr>
              <w:t>Key rule</w:t>
            </w:r>
          </w:p>
        </w:tc>
      </w:tr>
      <w:tr>
        <w:tc>
          <w:tcPr>
            <w:tcW w:type="dxa" w:w="2448"/>
            <w:vAlign w:val="top"/>
            <w:tcMar>
              <w:top w:w="80" w:type="dxa"/>
              <w:start w:w="90" w:type="dxa"/>
              <w:bottom w:w="80" w:type="dxa"/>
              <w:end w:w="90" w:type="dxa"/>
            </w:tcMar>
          </w:tcPr>
          <w:p>
            <w:r>
              <w:rPr>
                <w:sz w:val="17"/>
              </w:rPr>
              <w:t>A business type</w:t>
            </w:r>
          </w:p>
        </w:tc>
        <w:tc>
          <w:tcPr>
            <w:tcW w:type="dxa" w:w="2880"/>
            <w:vAlign w:val="top"/>
            <w:tcMar>
              <w:top w:w="80" w:type="dxa"/>
              <w:start w:w="90" w:type="dxa"/>
              <w:bottom w:w="80" w:type="dxa"/>
              <w:end w:w="90" w:type="dxa"/>
            </w:tcMar>
          </w:tcPr>
          <w:p>
            <w:r>
              <w:rPr>
                <w:sz w:val="17"/>
              </w:rPr>
              <w:t>ontology/&lt;layer&gt;/&lt;module&gt;.ttl</w:t>
            </w:r>
          </w:p>
        </w:tc>
        <w:tc>
          <w:tcPr>
            <w:tcW w:type="dxa" w:w="1800"/>
            <w:vAlign w:val="top"/>
            <w:tcMar>
              <w:top w:w="80" w:type="dxa"/>
              <w:start w:w="90" w:type="dxa"/>
              <w:bottom w:w="80" w:type="dxa"/>
              <w:end w:w="90" w:type="dxa"/>
            </w:tcMar>
          </w:tcPr>
          <w:p>
            <w:r>
              <w:rPr>
                <w:sz w:val="17"/>
              </w:rPr>
              <w:t>OWL Class</w:t>
            </w:r>
          </w:p>
        </w:tc>
        <w:tc>
          <w:tcPr>
            <w:tcW w:type="dxa" w:w="3024"/>
            <w:vAlign w:val="top"/>
            <w:tcMar>
              <w:top w:w="80" w:type="dxa"/>
              <w:start w:w="90" w:type="dxa"/>
              <w:bottom w:w="80" w:type="dxa"/>
              <w:end w:w="90" w:type="dxa"/>
            </w:tcMar>
          </w:tcPr>
          <w:p>
            <w:r>
              <w:rPr>
                <w:sz w:val="17"/>
              </w:rPr>
              <w:t>UpperCamelCase; real domain category</w:t>
            </w:r>
          </w:p>
        </w:tc>
      </w:tr>
      <w:tr>
        <w:tc>
          <w:tcPr>
            <w:tcW w:type="dxa" w:w="2448"/>
            <w:vAlign w:val="top"/>
            <w:tcMar>
              <w:top w:w="80" w:type="dxa"/>
              <w:start w:w="90" w:type="dxa"/>
              <w:bottom w:w="80" w:type="dxa"/>
              <w:end w:w="90" w:type="dxa"/>
            </w:tcMar>
          </w:tcPr>
          <w:p>
            <w:r>
              <w:rPr>
                <w:sz w:val="17"/>
              </w:rPr>
              <w:t>A relationship</w:t>
            </w:r>
          </w:p>
        </w:tc>
        <w:tc>
          <w:tcPr>
            <w:tcW w:type="dxa" w:w="2880"/>
            <w:vAlign w:val="top"/>
            <w:tcMar>
              <w:top w:w="80" w:type="dxa"/>
              <w:start w:w="90" w:type="dxa"/>
              <w:bottom w:w="80" w:type="dxa"/>
              <w:end w:w="90" w:type="dxa"/>
            </w:tcMar>
          </w:tcPr>
          <w:p>
            <w:r>
              <w:rPr>
                <w:sz w:val="17"/>
              </w:rPr>
              <w:t>ontology/&lt;layer&gt;/&lt;module&gt;.ttl</w:t>
            </w:r>
          </w:p>
        </w:tc>
        <w:tc>
          <w:tcPr>
            <w:tcW w:type="dxa" w:w="1800"/>
            <w:vAlign w:val="top"/>
            <w:tcMar>
              <w:top w:w="80" w:type="dxa"/>
              <w:start w:w="90" w:type="dxa"/>
              <w:bottom w:w="80" w:type="dxa"/>
              <w:end w:w="90" w:type="dxa"/>
            </w:tcMar>
          </w:tcPr>
          <w:p>
            <w:r>
              <w:rPr>
                <w:sz w:val="17"/>
              </w:rPr>
              <w:t>OWL ObjectProperty</w:t>
            </w:r>
          </w:p>
        </w:tc>
        <w:tc>
          <w:tcPr>
            <w:tcW w:type="dxa" w:w="3024"/>
            <w:vAlign w:val="top"/>
            <w:tcMar>
              <w:top w:w="80" w:type="dxa"/>
              <w:start w:w="90" w:type="dxa"/>
              <w:bottom w:w="80" w:type="dxa"/>
              <w:end w:w="90" w:type="dxa"/>
            </w:tcMar>
          </w:tcPr>
          <w:p>
            <w:r>
              <w:rPr>
                <w:sz w:val="17"/>
              </w:rPr>
              <w:t>lowerCamelCase; semantic relation</w:t>
            </w:r>
          </w:p>
        </w:tc>
      </w:tr>
      <w:tr>
        <w:tc>
          <w:tcPr>
            <w:tcW w:type="dxa" w:w="2448"/>
            <w:vAlign w:val="top"/>
            <w:tcMar>
              <w:top w:w="80" w:type="dxa"/>
              <w:start w:w="90" w:type="dxa"/>
              <w:bottom w:w="80" w:type="dxa"/>
              <w:end w:w="90" w:type="dxa"/>
            </w:tcMar>
          </w:tcPr>
          <w:p>
            <w:r>
              <w:rPr>
                <w:sz w:val="17"/>
              </w:rPr>
              <w:t>A literal attribute</w:t>
            </w:r>
          </w:p>
        </w:tc>
        <w:tc>
          <w:tcPr>
            <w:tcW w:type="dxa" w:w="2880"/>
            <w:vAlign w:val="top"/>
            <w:tcMar>
              <w:top w:w="80" w:type="dxa"/>
              <w:start w:w="90" w:type="dxa"/>
              <w:bottom w:w="80" w:type="dxa"/>
              <w:end w:w="90" w:type="dxa"/>
            </w:tcMar>
          </w:tcPr>
          <w:p>
            <w:r>
              <w:rPr>
                <w:sz w:val="17"/>
              </w:rPr>
              <w:t>ontology/&lt;layer&gt;/&lt;module&gt;.ttl</w:t>
            </w:r>
          </w:p>
        </w:tc>
        <w:tc>
          <w:tcPr>
            <w:tcW w:type="dxa" w:w="1800"/>
            <w:vAlign w:val="top"/>
            <w:tcMar>
              <w:top w:w="80" w:type="dxa"/>
              <w:start w:w="90" w:type="dxa"/>
              <w:bottom w:w="80" w:type="dxa"/>
              <w:end w:w="90" w:type="dxa"/>
            </w:tcMar>
          </w:tcPr>
          <w:p>
            <w:r>
              <w:rPr>
                <w:sz w:val="17"/>
              </w:rPr>
              <w:t>OWL DatatypeProperty</w:t>
            </w:r>
          </w:p>
        </w:tc>
        <w:tc>
          <w:tcPr>
            <w:tcW w:type="dxa" w:w="3024"/>
            <w:vAlign w:val="top"/>
            <w:tcMar>
              <w:top w:w="80" w:type="dxa"/>
              <w:start w:w="90" w:type="dxa"/>
              <w:bottom w:w="80" w:type="dxa"/>
              <w:end w:w="90" w:type="dxa"/>
            </w:tcMar>
          </w:tcPr>
          <w:p>
            <w:r>
              <w:rPr>
                <w:sz w:val="17"/>
              </w:rPr>
              <w:t>Datatype describes meaning, SHACL enforces contract</w:t>
            </w:r>
          </w:p>
        </w:tc>
      </w:tr>
      <w:tr>
        <w:tc>
          <w:tcPr>
            <w:tcW w:type="dxa" w:w="2448"/>
            <w:vAlign w:val="top"/>
            <w:tcMar>
              <w:top w:w="80" w:type="dxa"/>
              <w:start w:w="90" w:type="dxa"/>
              <w:bottom w:w="80" w:type="dxa"/>
              <w:end w:w="90" w:type="dxa"/>
            </w:tcMar>
          </w:tcPr>
          <w:p>
            <w:r>
              <w:rPr>
                <w:sz w:val="17"/>
              </w:rPr>
              <w:t>A status/code/list</w:t>
            </w:r>
          </w:p>
        </w:tc>
        <w:tc>
          <w:tcPr>
            <w:tcW w:type="dxa" w:w="2880"/>
            <w:vAlign w:val="top"/>
            <w:tcMar>
              <w:top w:w="80" w:type="dxa"/>
              <w:start w:w="90" w:type="dxa"/>
              <w:bottom w:w="80" w:type="dxa"/>
              <w:end w:w="90" w:type="dxa"/>
            </w:tcMar>
          </w:tcPr>
          <w:p>
            <w:r>
              <w:rPr>
                <w:sz w:val="17"/>
              </w:rPr>
              <w:t>vocabulary/&lt;layer&gt;/&lt;scheme&gt;.ttl</w:t>
            </w:r>
          </w:p>
        </w:tc>
        <w:tc>
          <w:tcPr>
            <w:tcW w:type="dxa" w:w="1800"/>
            <w:vAlign w:val="top"/>
            <w:tcMar>
              <w:top w:w="80" w:type="dxa"/>
              <w:start w:w="90" w:type="dxa"/>
              <w:bottom w:w="80" w:type="dxa"/>
              <w:end w:w="90" w:type="dxa"/>
            </w:tcMar>
          </w:tcPr>
          <w:p>
            <w:r>
              <w:rPr>
                <w:sz w:val="17"/>
              </w:rPr>
              <w:t>SKOS Concept</w:t>
            </w:r>
          </w:p>
        </w:tc>
        <w:tc>
          <w:tcPr>
            <w:tcW w:type="dxa" w:w="3024"/>
            <w:vAlign w:val="top"/>
            <w:tcMar>
              <w:top w:w="80" w:type="dxa"/>
              <w:start w:w="90" w:type="dxa"/>
              <w:bottom w:w="80" w:type="dxa"/>
              <w:end w:w="90" w:type="dxa"/>
            </w:tcMar>
          </w:tcPr>
          <w:p>
            <w:r>
              <w:rPr>
                <w:sz w:val="17"/>
              </w:rPr>
              <w:t>Code in skos:notation; never class-per-code</w:t>
            </w:r>
          </w:p>
        </w:tc>
      </w:tr>
      <w:tr>
        <w:tc>
          <w:tcPr>
            <w:tcW w:type="dxa" w:w="2448"/>
            <w:vAlign w:val="top"/>
            <w:tcMar>
              <w:top w:w="80" w:type="dxa"/>
              <w:start w:w="90" w:type="dxa"/>
              <w:bottom w:w="80" w:type="dxa"/>
              <w:end w:w="90" w:type="dxa"/>
            </w:tcMar>
          </w:tcPr>
          <w:p>
            <w:r>
              <w:rPr>
                <w:sz w:val="17"/>
              </w:rPr>
              <w:t>A required field/cardinality</w:t>
            </w:r>
          </w:p>
        </w:tc>
        <w:tc>
          <w:tcPr>
            <w:tcW w:type="dxa" w:w="2880"/>
            <w:vAlign w:val="top"/>
            <w:tcMar>
              <w:top w:w="80" w:type="dxa"/>
              <w:start w:w="90" w:type="dxa"/>
              <w:bottom w:w="80" w:type="dxa"/>
              <w:end w:w="90" w:type="dxa"/>
            </w:tcMar>
          </w:tcPr>
          <w:p>
            <w:r>
              <w:rPr>
                <w:sz w:val="17"/>
              </w:rPr>
              <w:t>shapes/&lt;layer&gt;/&lt;module&gt;.shapes.ttl</w:t>
            </w:r>
          </w:p>
        </w:tc>
        <w:tc>
          <w:tcPr>
            <w:tcW w:type="dxa" w:w="1800"/>
            <w:vAlign w:val="top"/>
            <w:tcMar>
              <w:top w:w="80" w:type="dxa"/>
              <w:start w:w="90" w:type="dxa"/>
              <w:bottom w:w="80" w:type="dxa"/>
              <w:end w:w="90" w:type="dxa"/>
            </w:tcMar>
          </w:tcPr>
          <w:p>
            <w:r>
              <w:rPr>
                <w:sz w:val="17"/>
              </w:rPr>
              <w:t>SHACL</w:t>
            </w:r>
          </w:p>
        </w:tc>
        <w:tc>
          <w:tcPr>
            <w:tcW w:type="dxa" w:w="3024"/>
            <w:vAlign w:val="top"/>
            <w:tcMar>
              <w:top w:w="80" w:type="dxa"/>
              <w:start w:w="90" w:type="dxa"/>
              <w:bottom w:w="80" w:type="dxa"/>
              <w:end w:w="90" w:type="dxa"/>
            </w:tcMar>
          </w:tcPr>
          <w:p>
            <w:r>
              <w:rPr>
                <w:sz w:val="17"/>
              </w:rPr>
              <w:t>Validation, not OWL</w:t>
            </w:r>
          </w:p>
        </w:tc>
      </w:tr>
      <w:tr>
        <w:tc>
          <w:tcPr>
            <w:tcW w:type="dxa" w:w="2448"/>
            <w:vAlign w:val="top"/>
            <w:tcMar>
              <w:top w:w="80" w:type="dxa"/>
              <w:start w:w="90" w:type="dxa"/>
              <w:bottom w:w="80" w:type="dxa"/>
              <w:end w:w="90" w:type="dxa"/>
            </w:tcMar>
          </w:tcPr>
          <w:p>
            <w:r>
              <w:rPr>
                <w:sz w:val="17"/>
              </w:rPr>
              <w:t>A business question</w:t>
            </w:r>
          </w:p>
        </w:tc>
        <w:tc>
          <w:tcPr>
            <w:tcW w:type="dxa" w:w="2880"/>
            <w:vAlign w:val="top"/>
            <w:tcMar>
              <w:top w:w="80" w:type="dxa"/>
              <w:start w:w="90" w:type="dxa"/>
              <w:bottom w:w="80" w:type="dxa"/>
              <w:end w:w="90" w:type="dxa"/>
            </w:tcMar>
          </w:tcPr>
          <w:p>
            <w:r>
              <w:rPr>
                <w:sz w:val="17"/>
              </w:rPr>
              <w:t>competency/&lt;layer&gt;/&lt;module&gt;.cq.ttl</w:t>
            </w:r>
          </w:p>
        </w:tc>
        <w:tc>
          <w:tcPr>
            <w:tcW w:type="dxa" w:w="1800"/>
            <w:vAlign w:val="top"/>
            <w:tcMar>
              <w:top w:w="80" w:type="dxa"/>
              <w:start w:w="90" w:type="dxa"/>
              <w:bottom w:w="80" w:type="dxa"/>
              <w:end w:w="90" w:type="dxa"/>
            </w:tcMar>
          </w:tcPr>
          <w:p>
            <w:r>
              <w:rPr>
                <w:sz w:val="17"/>
              </w:rPr>
              <w:t>CQ + SPARQL</w:t>
            </w:r>
          </w:p>
        </w:tc>
        <w:tc>
          <w:tcPr>
            <w:tcW w:type="dxa" w:w="3024"/>
            <w:vAlign w:val="top"/>
            <w:tcMar>
              <w:top w:w="80" w:type="dxa"/>
              <w:start w:w="90" w:type="dxa"/>
              <w:bottom w:w="80" w:type="dxa"/>
              <w:end w:w="90" w:type="dxa"/>
            </w:tcMar>
          </w:tcPr>
          <w:p>
            <w:r>
              <w:rPr>
                <w:sz w:val="17"/>
              </w:rPr>
              <w:t>Stable CQ ID</w:t>
            </w:r>
          </w:p>
        </w:tc>
      </w:tr>
      <w:tr>
        <w:tc>
          <w:tcPr>
            <w:tcW w:type="dxa" w:w="2448"/>
            <w:vAlign w:val="top"/>
            <w:tcMar>
              <w:top w:w="80" w:type="dxa"/>
              <w:start w:w="90" w:type="dxa"/>
              <w:bottom w:w="80" w:type="dxa"/>
              <w:end w:w="90" w:type="dxa"/>
            </w:tcMar>
          </w:tcPr>
          <w:p>
            <w:r>
              <w:rPr>
                <w:sz w:val="17"/>
              </w:rPr>
              <w:t>Example data</w:t>
            </w:r>
          </w:p>
        </w:tc>
        <w:tc>
          <w:tcPr>
            <w:tcW w:type="dxa" w:w="2880"/>
            <w:vAlign w:val="top"/>
            <w:tcMar>
              <w:top w:w="80" w:type="dxa"/>
              <w:start w:w="90" w:type="dxa"/>
              <w:bottom w:w="80" w:type="dxa"/>
              <w:end w:w="90" w:type="dxa"/>
            </w:tcMar>
          </w:tcPr>
          <w:p>
            <w:r>
              <w:rPr>
                <w:sz w:val="17"/>
              </w:rPr>
              <w:t>samples/&lt;layer&gt;/...</w:t>
            </w:r>
          </w:p>
        </w:tc>
        <w:tc>
          <w:tcPr>
            <w:tcW w:type="dxa" w:w="1800"/>
            <w:vAlign w:val="top"/>
            <w:tcMar>
              <w:top w:w="80" w:type="dxa"/>
              <w:start w:w="90" w:type="dxa"/>
              <w:bottom w:w="80" w:type="dxa"/>
              <w:end w:w="90" w:type="dxa"/>
            </w:tcMar>
          </w:tcPr>
          <w:p>
            <w:r>
              <w:rPr>
                <w:sz w:val="17"/>
              </w:rPr>
              <w:t>A-Box RDF</w:t>
            </w:r>
          </w:p>
        </w:tc>
        <w:tc>
          <w:tcPr>
            <w:tcW w:type="dxa" w:w="3024"/>
            <w:vAlign w:val="top"/>
            <w:tcMar>
              <w:top w:w="80" w:type="dxa"/>
              <w:start w:w="90" w:type="dxa"/>
              <w:bottom w:w="80" w:type="dxa"/>
              <w:end w:w="90" w:type="dxa"/>
            </w:tcMar>
          </w:tcPr>
          <w:p>
            <w:r>
              <w:rPr>
                <w:sz w:val="17"/>
              </w:rPr>
              <w:t>Synthetic/de-identified</w:t>
            </w:r>
          </w:p>
        </w:tc>
      </w:tr>
      <w:tr>
        <w:tc>
          <w:tcPr>
            <w:tcW w:type="dxa" w:w="2448"/>
            <w:vAlign w:val="top"/>
            <w:tcMar>
              <w:top w:w="80" w:type="dxa"/>
              <w:start w:w="90" w:type="dxa"/>
              <w:bottom w:w="80" w:type="dxa"/>
              <w:end w:w="90" w:type="dxa"/>
            </w:tcMar>
          </w:tcPr>
          <w:p>
            <w:r>
              <w:rPr>
                <w:sz w:val="17"/>
              </w:rPr>
              <w:t>An external alignment</w:t>
            </w:r>
          </w:p>
        </w:tc>
        <w:tc>
          <w:tcPr>
            <w:tcW w:type="dxa" w:w="2880"/>
            <w:vAlign w:val="top"/>
            <w:tcMar>
              <w:top w:w="80" w:type="dxa"/>
              <w:start w:w="90" w:type="dxa"/>
              <w:bottom w:w="80" w:type="dxa"/>
              <w:end w:w="90" w:type="dxa"/>
            </w:tcMar>
          </w:tcPr>
          <w:p>
            <w:r>
              <w:rPr>
                <w:sz w:val="17"/>
              </w:rPr>
              <w:t>mappings/...</w:t>
            </w:r>
          </w:p>
        </w:tc>
        <w:tc>
          <w:tcPr>
            <w:tcW w:type="dxa" w:w="1800"/>
            <w:vAlign w:val="top"/>
            <w:tcMar>
              <w:top w:w="80" w:type="dxa"/>
              <w:start w:w="90" w:type="dxa"/>
              <w:bottom w:w="80" w:type="dxa"/>
              <w:end w:w="90" w:type="dxa"/>
            </w:tcMar>
          </w:tcPr>
          <w:p>
            <w:r>
              <w:rPr>
                <w:sz w:val="17"/>
              </w:rPr>
              <w:t>OWL/SKOS mapping</w:t>
            </w:r>
          </w:p>
        </w:tc>
        <w:tc>
          <w:tcPr>
            <w:tcW w:type="dxa" w:w="3024"/>
            <w:vAlign w:val="top"/>
            <w:tcMar>
              <w:top w:w="80" w:type="dxa"/>
              <w:start w:w="90" w:type="dxa"/>
              <w:bottom w:w="80" w:type="dxa"/>
              <w:end w:w="90" w:type="dxa"/>
            </w:tcMar>
          </w:tcPr>
          <w:p>
            <w:r>
              <w:rPr>
                <w:sz w:val="17"/>
              </w:rPr>
              <w:t>Keep separate when lifecycle differs</w:t>
            </w:r>
          </w:p>
        </w:tc>
      </w:tr>
      <w:tr>
        <w:tc>
          <w:tcPr>
            <w:tcW w:type="dxa" w:w="2448"/>
            <w:vAlign w:val="top"/>
            <w:tcMar>
              <w:top w:w="80" w:type="dxa"/>
              <w:start w:w="90" w:type="dxa"/>
              <w:bottom w:w="80" w:type="dxa"/>
              <w:end w:w="90" w:type="dxa"/>
            </w:tcMar>
          </w:tcPr>
          <w:p>
            <w:r>
              <w:rPr>
                <w:sz w:val="17"/>
              </w:rPr>
              <w:t>JSON for an API</w:t>
            </w:r>
          </w:p>
        </w:tc>
        <w:tc>
          <w:tcPr>
            <w:tcW w:type="dxa" w:w="2880"/>
            <w:vAlign w:val="top"/>
            <w:tcMar>
              <w:top w:w="80" w:type="dxa"/>
              <w:start w:w="90" w:type="dxa"/>
              <w:bottom w:w="80" w:type="dxa"/>
              <w:end w:w="90" w:type="dxa"/>
            </w:tcMar>
          </w:tcPr>
          <w:p>
            <w:r>
              <w:rPr>
                <w:sz w:val="17"/>
              </w:rPr>
              <w:t>context/ + runtime projection</w:t>
            </w:r>
          </w:p>
        </w:tc>
        <w:tc>
          <w:tcPr>
            <w:tcW w:type="dxa" w:w="1800"/>
            <w:vAlign w:val="top"/>
            <w:tcMar>
              <w:top w:w="80" w:type="dxa"/>
              <w:start w:w="90" w:type="dxa"/>
              <w:bottom w:w="80" w:type="dxa"/>
              <w:end w:w="90" w:type="dxa"/>
            </w:tcMar>
          </w:tcPr>
          <w:p>
            <w:r>
              <w:rPr>
                <w:sz w:val="17"/>
              </w:rPr>
              <w:t>JSON-LD</w:t>
            </w:r>
          </w:p>
        </w:tc>
        <w:tc>
          <w:tcPr>
            <w:tcW w:type="dxa" w:w="3024"/>
            <w:vAlign w:val="top"/>
            <w:tcMar>
              <w:top w:w="80" w:type="dxa"/>
              <w:start w:w="90" w:type="dxa"/>
              <w:bottom w:w="80" w:type="dxa"/>
              <w:end w:w="90" w:type="dxa"/>
            </w:tcMar>
          </w:tcPr>
          <w:p>
            <w:r>
              <w:rPr>
                <w:sz w:val="17"/>
              </w:rPr>
              <w:t>Generate from ontology/context, do not create a second model</w:t>
            </w:r>
          </w:p>
        </w:tc>
      </w:tr>
      <w:tr>
        <w:tc>
          <w:tcPr>
            <w:tcW w:type="dxa" w:w="2448"/>
            <w:vAlign w:val="top"/>
            <w:tcMar>
              <w:top w:w="80" w:type="dxa"/>
              <w:start w:w="90" w:type="dxa"/>
              <w:bottom w:w="80" w:type="dxa"/>
              <w:end w:w="90" w:type="dxa"/>
            </w:tcMar>
          </w:tcPr>
          <w:p>
            <w:r>
              <w:rPr>
                <w:sz w:val="17"/>
              </w:rPr>
              <w:t>A specialization of another module</w:t>
            </w:r>
          </w:p>
        </w:tc>
        <w:tc>
          <w:tcPr>
            <w:tcW w:type="dxa" w:w="2880"/>
            <w:vAlign w:val="top"/>
            <w:tcMar>
              <w:top w:w="80" w:type="dxa"/>
              <w:start w:w="90" w:type="dxa"/>
              <w:bottom w:w="80" w:type="dxa"/>
              <w:end w:w="90" w:type="dxa"/>
            </w:tcMar>
          </w:tcPr>
          <w:p>
            <w:r>
              <w:rPr>
                <w:sz w:val="17"/>
              </w:rPr>
              <w:t>your own namespace</w:t>
            </w:r>
          </w:p>
        </w:tc>
        <w:tc>
          <w:tcPr>
            <w:tcW w:type="dxa" w:w="1800"/>
            <w:vAlign w:val="top"/>
            <w:tcMar>
              <w:top w:w="80" w:type="dxa"/>
              <w:start w:w="90" w:type="dxa"/>
              <w:bottom w:w="80" w:type="dxa"/>
              <w:end w:w="90" w:type="dxa"/>
            </w:tcMar>
          </w:tcPr>
          <w:p>
            <w:r>
              <w:rPr>
                <w:sz w:val="17"/>
              </w:rPr>
              <w:t>Import + subclass/subproperty</w:t>
            </w:r>
          </w:p>
        </w:tc>
        <w:tc>
          <w:tcPr>
            <w:tcW w:type="dxa" w:w="3024"/>
            <w:vAlign w:val="top"/>
            <w:tcMar>
              <w:top w:w="80" w:type="dxa"/>
              <w:start w:w="90" w:type="dxa"/>
              <w:bottom w:w="80" w:type="dxa"/>
              <w:end w:w="90" w:type="dxa"/>
            </w:tcMar>
          </w:tcPr>
          <w:p>
            <w:r>
              <w:rPr>
                <w:sz w:val="17"/>
              </w:rPr>
              <w:t>Never mint in someone else's namespace</w:t>
            </w:r>
          </w:p>
        </w:tc>
      </w:tr>
    </w:tbl>
    <w:p>
      <w:pPr>
        <w:spacing w:after="20"/>
      </w:pPr>
    </w:p>
    <w:p>
      <w:pPr>
        <w:jc w:val="center"/>
      </w:pPr>
      <w:r>
        <w:rPr>
          <w:b/>
          <w:color w:val="17365D"/>
          <w:sz w:val="26"/>
        </w:rPr>
        <w:t>TEAM MANTRA</w:t>
      </w:r>
    </w:p>
    <w:p>
      <w:pPr>
        <w:jc w:val="center"/>
      </w:pPr>
      <w:r>
        <w:rPr>
          <w:b/>
          <w:sz w:val="22"/>
        </w:rPr>
        <w:t>Stable IRIs. Clear ownership. Domain meaning in OWL. Data quality in SHACL. Values in SKOS. Questions drive the model. Tests guard every release.</w:t>
      </w:r>
    </w:p>
    <w:p>
      <w:pPr>
        <w:pStyle w:val="Heading1"/>
      </w:pPr>
      <w:r>
        <w:t>References</w:t>
      </w:r>
    </w:p>
    <w:p>
      <w:pPr>
        <w:pStyle w:val="ListBullet"/>
      </w:pPr>
      <w:hyperlink r:id="rId11">
        <w:r>
          <w:rPr>
            <w:color w:val="0563C1"/>
            <w:u w:val="single"/>
          </w:rPr>
          <w:t>W3C RDF 1.2 Concepts and Abstract Data Model</w:t>
        </w:r>
      </w:hyperlink>
    </w:p>
    <w:p>
      <w:pPr>
        <w:pStyle w:val="ListBullet"/>
      </w:pPr>
      <w:hyperlink r:id="rId12">
        <w:r>
          <w:rPr>
            <w:color w:val="0563C1"/>
            <w:u w:val="single"/>
          </w:rPr>
          <w:t>W3C RDF Schema 1.1</w:t>
        </w:r>
      </w:hyperlink>
    </w:p>
    <w:p>
      <w:pPr>
        <w:pStyle w:val="ListBullet"/>
      </w:pPr>
      <w:hyperlink r:id="rId13">
        <w:r>
          <w:rPr>
            <w:color w:val="0563C1"/>
            <w:u w:val="single"/>
          </w:rPr>
          <w:t>W3C OWL 2 Web Ontology Language - Structural Specification</w:t>
        </w:r>
      </w:hyperlink>
    </w:p>
    <w:p>
      <w:pPr>
        <w:pStyle w:val="ListBullet"/>
      </w:pPr>
      <w:hyperlink r:id="rId14">
        <w:r>
          <w:rPr>
            <w:color w:val="0563C1"/>
            <w:u w:val="single"/>
          </w:rPr>
          <w:t>W3C OWL 2 Primer</w:t>
        </w:r>
      </w:hyperlink>
    </w:p>
    <w:p>
      <w:pPr>
        <w:pStyle w:val="ListBullet"/>
      </w:pPr>
      <w:hyperlink r:id="rId15">
        <w:r>
          <w:rPr>
            <w:color w:val="0563C1"/>
            <w:u w:val="single"/>
          </w:rPr>
          <w:t>W3C SHACL 1.2 Core</w:t>
        </w:r>
      </w:hyperlink>
    </w:p>
    <w:p>
      <w:pPr>
        <w:pStyle w:val="ListBullet"/>
      </w:pPr>
      <w:hyperlink r:id="rId16">
        <w:r>
          <w:rPr>
            <w:color w:val="0563C1"/>
            <w:u w:val="single"/>
          </w:rPr>
          <w:t>W3C SKOS Simple Knowledge Organization System Reference</w:t>
        </w:r>
      </w:hyperlink>
    </w:p>
    <w:p>
      <w:pPr>
        <w:pStyle w:val="ListBullet"/>
      </w:pPr>
      <w:hyperlink r:id="rId17">
        <w:r>
          <w:rPr>
            <w:color w:val="0563C1"/>
            <w:u w:val="single"/>
          </w:rPr>
          <w:t>W3C OWL-Time</w:t>
        </w:r>
      </w:hyperlink>
    </w:p>
    <w:p>
      <w:r>
        <w:rPr>
          <w:b/>
        </w:rPr>
        <w:t xml:space="preserve">Internal source basis: </w:t>
      </w:r>
      <w:r>
        <w:t>The uploaded ontology-documentation package, especially namespace-policy.html, artifact-organization-design.html, ontology-modularization.html, ontology-versioning.html, rdfs-owl-shacl.html, controlled-vocabularies.html, reusing-standard-ontologies.html, extension-authoring-guide.html and ontology-antipatterns.html.</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95959"/>
        <w:sz w:val="16"/>
      </w:rPr>
      <w:t>Ontology Engineering Governance Standard | Internal</w:t>
    </w:r>
  </w:p>
  <w:p>
    <w:pPr>
      <w:jc w:val="right"/>
    </w:pPr>
    <w: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6"/>
      </w:rPr>
      <w:t>Enterprise Ontology Development Standard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F4E7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37609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CodeInline">
    <w:name w:val="Code Inline"/>
    <w:rPr>
      <w:rFonts w:ascii="Courier New" w:hAnsi="Courier New"/>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w3.org/TR/rdf12-concepts/" TargetMode="External"/><Relationship Id="rId12" Type="http://schemas.openxmlformats.org/officeDocument/2006/relationships/hyperlink" Target="https://www.w3.org/TR/rdf-schema/" TargetMode="External"/><Relationship Id="rId13" Type="http://schemas.openxmlformats.org/officeDocument/2006/relationships/hyperlink" Target="https://www.w3.org/TR/owl2-syntax/" TargetMode="External"/><Relationship Id="rId14" Type="http://schemas.openxmlformats.org/officeDocument/2006/relationships/hyperlink" Target="https://www.w3.org/TR/owl2-primer/" TargetMode="External"/><Relationship Id="rId15" Type="http://schemas.openxmlformats.org/officeDocument/2006/relationships/hyperlink" Target="https://www.w3.org/TR/shacl12-core/" TargetMode="External"/><Relationship Id="rId16" Type="http://schemas.openxmlformats.org/officeDocument/2006/relationships/hyperlink" Target="https://www.w3.org/TR/skos-reference/" TargetMode="External"/><Relationship Id="rId17" Type="http://schemas.openxmlformats.org/officeDocument/2006/relationships/hyperlink" Target="https://www.w3.org/TR/owl-t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