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2000" w:after="0"/>
        <w:jc w:val="center"/>
        <w:rPr/>
      </w:pPr>
      <w:r>
        <w:rPr>
          <w:rFonts w:eastAsia="Arial" w:cs="Arial"/>
          <w:b/>
          <w:bCs/>
          <w:color w:val="1A237E"/>
          <w:sz w:val="60"/>
          <w:szCs w:val="60"/>
        </w:rPr>
        <w:t xml:space="preserve">GENAI </w:t>
      </w:r>
      <w:r>
        <w:rPr>
          <w:rFonts w:eastAsia="Arial" w:cs="Arial"/>
          <w:b/>
          <w:bCs/>
          <w:color w:val="1A237E"/>
          <w:sz w:val="60"/>
          <w:szCs w:val="60"/>
        </w:rPr>
        <w:t>MLL INTAKE</w:t>
      </w:r>
    </w:p>
    <w:p>
      <w:pPr>
        <w:pStyle w:val="Normal"/>
        <w:jc w:val="center"/>
        <w:rPr/>
      </w:pPr>
      <w:r>
        <w:rPr>
          <w:rFonts w:eastAsia="Arial" w:cs="Arial"/>
          <w:color w:val="3949AB"/>
          <w:sz w:val="36"/>
          <w:szCs w:val="36"/>
        </w:rPr>
        <w:t>Multi-Agent AI Chatbot System</w:t>
      </w:r>
    </w:p>
    <w:p>
      <w:pPr>
        <w:pStyle w:val="Normal"/>
        <w:spacing w:before="200" w:after="0"/>
        <w:jc w:val="center"/>
        <w:rPr/>
      </w:pPr>
      <w:r>
        <w:rPr>
          <w:rFonts w:eastAsia="Arial" w:cs="Arial"/>
          <w:color w:val="666666"/>
          <w:sz w:val="28"/>
          <w:szCs w:val="28"/>
        </w:rPr>
        <w:t>Complete System Design Guide</w:t>
      </w:r>
    </w:p>
    <w:p>
      <w:pPr>
        <w:pStyle w:val="Normal"/>
        <w:spacing w:before="200" w:after="0"/>
        <w:jc w:val="center"/>
        <w:rPr/>
      </w:pPr>
      <w:r>
        <w:rPr>
          <w:rFonts w:eastAsia="Arial" w:cs="Arial"/>
          <w:b/>
          <w:bCs/>
          <w:color w:val="E65100"/>
          <w:sz w:val="24"/>
          <w:szCs w:val="24"/>
        </w:rPr>
        <w:t>Bronze | Silver | Gold Medallion Architecture</w:t>
      </w:r>
    </w:p>
    <w:p>
      <w:pPr>
        <w:pStyle w:val="Normal"/>
        <w:spacing w:before="100" w:after="0"/>
        <w:jc w:val="center"/>
        <w:rPr/>
      </w:pPr>
      <w:r>
        <w:rPr>
          <w:rFonts w:eastAsia="Arial" w:cs="Arial"/>
          <w:color w:val="666666"/>
          <w:sz w:val="22"/>
          <w:szCs w:val="22"/>
        </w:rPr>
        <w:t xml:space="preserve">LangFlow + Chainlit </w:t>
      </w:r>
      <w:r>
        <w:rPr>
          <w:rFonts w:eastAsia="Arial" w:cs="Arial"/>
          <w:color w:val="666666"/>
          <w:sz w:val="22"/>
          <w:szCs w:val="22"/>
        </w:rPr>
        <w:t>(</w:t>
      </w:r>
      <w:r>
        <w:rPr>
          <w:rFonts w:eastAsia="Arial" w:cs="Arial"/>
          <w:color w:val="C9211E"/>
          <w:sz w:val="22"/>
          <w:szCs w:val="22"/>
        </w:rPr>
        <w:t>option to use any framework</w:t>
      </w:r>
      <w:r>
        <w:rPr>
          <w:rFonts w:eastAsia="Arial" w:cs="Arial"/>
          <w:color w:val="666666"/>
          <w:sz w:val="22"/>
          <w:szCs w:val="22"/>
        </w:rPr>
        <w:t>)</w:t>
      </w:r>
      <w:r>
        <w:rPr>
          <w:rFonts w:eastAsia="Arial" w:cs="Arial"/>
          <w:color w:val="666666"/>
          <w:sz w:val="22"/>
          <w:szCs w:val="22"/>
        </w:rPr>
        <w:t xml:space="preserve"> + Content Sphere</w:t>
      </w:r>
    </w:p>
    <w:p>
      <w:pPr>
        <w:pStyle w:val="Normal"/>
        <w:spacing w:before="400" w:after="0"/>
        <w:jc w:val="center"/>
        <w:rPr/>
      </w:pPr>
      <w:r>
        <w:rPr>
          <w:rFonts w:eastAsia="Arial" w:cs="Arial"/>
          <w:color w:val="999999"/>
          <w:sz w:val="20"/>
          <w:szCs w:val="20"/>
        </w:rPr>
        <w:t>Version 1.0 | February 2026</w:t>
      </w:r>
    </w:p>
    <w:p>
      <w:pPr>
        <w:pStyle w:val="Normal"/>
        <w:rPr/>
      </w:pPr>
      <w:r>
        <w:rPr/>
      </w:r>
      <w:r>
        <w:br w:type="page"/>
      </w:r>
    </w:p>
    <w:p>
      <w:pPr>
        <w:pStyle w:val="Heading1"/>
        <w:spacing w:before="0" w:after="120"/>
        <w:rPr/>
      </w:pPr>
      <w:r>
        <w:rPr>
          <w:rFonts w:eastAsia="Arial" w:cs="Arial" w:ascii="Arial" w:hAnsi="Arial"/>
        </w:rPr>
        <w:t>1. The Big Picture: What Are We Building?</w:t>
      </w:r>
    </w:p>
    <w:p>
      <w:pPr>
        <w:pStyle w:val="Normal"/>
        <w:spacing w:before="0" w:after="120"/>
        <w:rPr/>
      </w:pPr>
      <w:r>
        <w:rPr>
          <w:rFonts w:eastAsia="Arial" w:cs="Arial"/>
          <w:sz w:val="22"/>
          <w:szCs w:val="22"/>
        </w:rPr>
        <w:t>MLL Intake is an AI chatbot that replaces the manual process of submitting IT service requests at Johnson &amp; Johnson's Manufacturing, Logistics &amp; Labs division. Today, a user spends 15-30 minutes reading Confluence documentation, filling out forms, and figuring out which team to contact. Our chatbot does this in under 3 minutes through a conversation.</w:t>
      </w:r>
    </w:p>
    <w:p>
      <w:pPr>
        <w:pStyle w:val="Normal"/>
        <w:spacing w:before="0" w:after="120"/>
        <w:rPr/>
      </w:pPr>
      <w:r>
        <w:rPr>
          <w:rFonts w:eastAsia="Arial" w:cs="Arial"/>
          <w:sz w:val="22"/>
          <w:szCs w:val="22"/>
        </w:rPr>
        <w:t>The system is built on a simple but powerful idea: we have 16,852 historical records of past requests (IRIS tickets, Jira Epics, User Stories, and vendor invoices). If someone asks for 'network drops at Jacksonville,' the system finds the 5 most similar past requests and uses them as context to understand what the user needs, what information to collect, and how to route the request.</w:t>
      </w:r>
    </w:p>
    <w:p>
      <w:pPr>
        <w:pStyle w:val="Heading2"/>
        <w:spacing w:before="280" w:after="120"/>
        <w:rPr/>
      </w:pPr>
      <w:r>
        <w:rPr>
          <w:rFonts w:eastAsia="Arial" w:cs="Arial" w:ascii="Arial" w:hAnsi="Arial"/>
        </w:rPr>
        <w:t>1.1 Why Historical Data Matters</w:t>
      </w:r>
    </w:p>
    <w:p>
      <w:pPr>
        <w:pStyle w:val="Normal"/>
        <w:spacing w:before="0" w:after="120"/>
        <w:rPr/>
      </w:pPr>
      <w:r>
        <w:rPr>
          <w:rFonts w:eastAsia="Arial" w:cs="Arial"/>
          <w:sz w:val="22"/>
          <w:szCs w:val="22"/>
        </w:rPr>
        <w:t>Think of it this way: if you were a new service owner at MLL and someone asked you to handle a network request, you would look at how similar requests were handled before. That is exactly what our AI does. The 16,852 historical records serve as the AI's 'institutional memory.' When a user says 'I need wireless access points in the warehouse,' the system finds past tickets about warehouse wireless installations and uses those as reference to classify the request correctly (Network Request, not just a general Intake), ask the right follow-up questions (How many APs? Which zones? ICE or standard network?), suggest likely values (based on what similar sites chose), and estimate costs (based on vendor invoices from similar projects).</w:t>
      </w:r>
    </w:p>
    <w:p>
      <w:pPr>
        <w:pStyle w:val="Normal"/>
        <w:spacing w:before="0" w:after="120"/>
        <w:rPr/>
      </w:pPr>
      <w:r>
        <w:rPr>
          <w:rFonts w:eastAsia="Arial" w:cs="Arial"/>
          <w:sz w:val="22"/>
          <w:szCs w:val="22"/>
        </w:rPr>
        <w:t>Without this historical data, the chatbot would be just a dumb form. With it, the chatbot becomes an intelligent assistant that understands MLL's patterns.</w:t>
      </w:r>
    </w:p>
    <w:p>
      <w:pPr>
        <w:pStyle w:val="Heading2"/>
        <w:spacing w:before="280" w:after="120"/>
        <w:rPr/>
      </w:pPr>
      <w:r>
        <w:rPr>
          <w:rFonts w:eastAsia="Arial" w:cs="Arial" w:ascii="Arial" w:hAnsi="Arial"/>
        </w:rPr>
        <w:t>1.2 The Three Questions Every Message Answers</w:t>
      </w:r>
    </w:p>
    <w:p>
      <w:pPr>
        <w:pStyle w:val="Normal"/>
        <w:spacing w:before="0" w:after="120"/>
        <w:rPr/>
      </w:pPr>
      <w:r>
        <w:rPr>
          <w:rFonts w:eastAsia="Arial" w:cs="Arial"/>
          <w:sz w:val="22"/>
          <w:szCs w:val="22"/>
        </w:rPr>
        <w:t>When a user sends a message, the system answers three questions in sequence. First: 'What type of request is this?' (handled by the Intent Classifier Agent using RAG retrieval against historical data). Second: 'Do I have enough information?' (handled by the Clarity Agent, which checks required fields and asks follow-ups). Third: 'How do I fulfill this request?' (handled by the specialized agent: Intake, Network, Incident, Access, or Status).</w:t>
      </w:r>
    </w:p>
    <w:p>
      <w:pPr>
        <w:pStyle w:val="Normal"/>
        <w:rPr/>
      </w:pPr>
      <w:r>
        <w:rPr/>
      </w:r>
      <w:r>
        <w:br w:type="page"/>
      </w:r>
    </w:p>
    <w:p>
      <w:pPr>
        <w:pStyle w:val="Heading1"/>
        <w:spacing w:before="0" w:after="120"/>
        <w:rPr/>
      </w:pPr>
      <w:r>
        <w:rPr>
          <w:rFonts w:eastAsia="Arial" w:cs="Arial" w:ascii="Arial" w:hAnsi="Arial"/>
        </w:rPr>
        <w:t>2. Medallion Architecture: Bronze, Silver, Gold</w:t>
      </w:r>
    </w:p>
    <w:p>
      <w:pPr>
        <w:pStyle w:val="Normal"/>
        <w:spacing w:before="0" w:after="120"/>
        <w:rPr/>
      </w:pPr>
      <w:r>
        <w:rPr>
          <w:rFonts w:eastAsia="Arial" w:cs="Arial"/>
          <w:sz w:val="22"/>
          <w:szCs w:val="22"/>
        </w:rPr>
        <w:t>We use a Medallion Architecture (also called a Lakehouse pattern) with three layers. Each layer progressively refines the data from raw inputs to AI-ready outputs. All storage uses Content Sphere as the central data platform.</w:t>
      </w:r>
    </w:p>
    <w:p>
      <w:pPr>
        <w:pStyle w:val="Heading2"/>
        <w:spacing w:before="280" w:after="120"/>
        <w:rPr/>
      </w:pPr>
      <w:r>
        <w:rPr>
          <w:rFonts w:eastAsia="Arial" w:cs="Arial" w:ascii="Arial" w:hAnsi="Arial"/>
        </w:rPr>
        <w:t>2.1 Bronze Layer: Raw Data Ingestion &amp; ETL</w:t>
      </w:r>
    </w:p>
    <w:p>
      <w:pPr>
        <w:pStyle w:val="Normal"/>
        <w:spacing w:before="0" w:after="120"/>
        <w:rPr/>
      </w:pPr>
      <w:r>
        <w:rPr>
          <w:rFonts w:eastAsia="Arial" w:cs="Arial"/>
          <w:sz w:val="22"/>
          <w:szCs w:val="22"/>
        </w:rPr>
        <w:t>The Bronze Layer is where raw data enters the system. Think of it as the 'loading dock' where we receive shipments of data from multiple enterprise systems and get them into a standard format.</w:t>
      </w:r>
    </w:p>
    <w:p>
      <w:pPr>
        <w:pStyle w:val="Normal"/>
        <w:spacing w:before="0" w:after="100"/>
        <w:rPr/>
      </w:pPr>
      <w:r>
        <w:rPr>
          <w:rFonts w:eastAsia="Arial" w:cs="Arial"/>
          <w:b/>
          <w:bCs/>
          <w:sz w:val="22"/>
          <w:szCs w:val="22"/>
        </w:rPr>
        <w:t xml:space="preserve">What comes in: </w:t>
      </w:r>
      <w:r>
        <w:rPr>
          <w:rFonts w:eastAsia="Arial" w:cs="Arial"/>
          <w:sz w:val="22"/>
          <w:szCs w:val="22"/>
        </w:rPr>
        <w:t>Raw Excel exports, PDF invoices, and API responses from four enterprise data sources.</w:t>
      </w:r>
    </w:p>
    <w:tbl>
      <w:tblPr>
        <w:tblW w:w="9840" w:type="dxa"/>
        <w:jc w:val="left"/>
        <w:tblInd w:w="0" w:type="dxa"/>
        <w:tblLayout w:type="fixed"/>
        <w:tblCellMar>
          <w:top w:w="60" w:type="dxa"/>
          <w:left w:w="100" w:type="dxa"/>
          <w:bottom w:w="60" w:type="dxa"/>
          <w:right w:w="100" w:type="dxa"/>
        </w:tblCellMar>
      </w:tblPr>
      <w:tblGrid>
        <w:gridCol w:w="2200"/>
        <w:gridCol w:w="1199"/>
        <w:gridCol w:w="1001"/>
        <w:gridCol w:w="5439"/>
      </w:tblGrid>
      <w:tr>
        <w:trPr/>
        <w:tc>
          <w:tcPr>
            <w:tcW w:w="2200" w:type="dxa"/>
            <w:tcBorders>
              <w:top w:val="single" w:sz="2" w:space="0" w:color="CCCCCC"/>
              <w:left w:val="single" w:sz="2" w:space="0" w:color="CCCCCC"/>
              <w:bottom w:val="single" w:sz="2" w:space="0" w:color="CCCCCC"/>
              <w:right w:val="single" w:sz="2" w:space="0" w:color="CCCCCC"/>
            </w:tcBorders>
            <w:shd w:fill="1A237E" w:val="clear"/>
          </w:tcPr>
          <w:p>
            <w:pPr>
              <w:pStyle w:val="Normal"/>
              <w:rPr/>
            </w:pPr>
            <w:r>
              <w:rPr>
                <w:rFonts w:eastAsia="Arial" w:cs="Arial"/>
                <w:b/>
                <w:bCs/>
                <w:color w:val="FFFFFF"/>
                <w:sz w:val="18"/>
                <w:szCs w:val="18"/>
              </w:rPr>
              <w:t>Source</w:t>
            </w:r>
          </w:p>
        </w:tc>
        <w:tc>
          <w:tcPr>
            <w:tcW w:w="1199" w:type="dxa"/>
            <w:tcBorders>
              <w:top w:val="single" w:sz="2" w:space="0" w:color="CCCCCC"/>
              <w:left w:val="single" w:sz="2" w:space="0" w:color="CCCCCC"/>
              <w:bottom w:val="single" w:sz="2" w:space="0" w:color="CCCCCC"/>
              <w:right w:val="single" w:sz="2" w:space="0" w:color="CCCCCC"/>
            </w:tcBorders>
            <w:shd w:fill="1A237E" w:val="clear"/>
          </w:tcPr>
          <w:p>
            <w:pPr>
              <w:pStyle w:val="Normal"/>
              <w:rPr/>
            </w:pPr>
            <w:r>
              <w:rPr>
                <w:rFonts w:eastAsia="Arial" w:cs="Arial"/>
                <w:b/>
                <w:bCs/>
                <w:color w:val="FFFFFF"/>
                <w:sz w:val="18"/>
                <w:szCs w:val="18"/>
              </w:rPr>
              <w:t>Records</w:t>
            </w:r>
          </w:p>
        </w:tc>
        <w:tc>
          <w:tcPr>
            <w:tcW w:w="1001" w:type="dxa"/>
            <w:tcBorders>
              <w:top w:val="single" w:sz="2" w:space="0" w:color="CCCCCC"/>
              <w:left w:val="single" w:sz="2" w:space="0" w:color="CCCCCC"/>
              <w:bottom w:val="single" w:sz="2" w:space="0" w:color="CCCCCC"/>
              <w:right w:val="single" w:sz="2" w:space="0" w:color="CCCCCC"/>
            </w:tcBorders>
            <w:shd w:fill="1A237E" w:val="clear"/>
          </w:tcPr>
          <w:p>
            <w:pPr>
              <w:pStyle w:val="Normal"/>
              <w:rPr/>
            </w:pPr>
            <w:r>
              <w:rPr>
                <w:rFonts w:eastAsia="Arial" w:cs="Arial"/>
                <w:b/>
                <w:bCs/>
                <w:color w:val="FFFFFF"/>
                <w:sz w:val="18"/>
                <w:szCs w:val="18"/>
              </w:rPr>
              <w:t>Fields</w:t>
            </w:r>
          </w:p>
        </w:tc>
        <w:tc>
          <w:tcPr>
            <w:tcW w:w="5439" w:type="dxa"/>
            <w:tcBorders>
              <w:top w:val="single" w:sz="2" w:space="0" w:color="CCCCCC"/>
              <w:left w:val="single" w:sz="2" w:space="0" w:color="CCCCCC"/>
              <w:bottom w:val="single" w:sz="2" w:space="0" w:color="CCCCCC"/>
              <w:right w:val="single" w:sz="2" w:space="0" w:color="CCCCCC"/>
            </w:tcBorders>
            <w:shd w:fill="1A237E" w:val="clear"/>
          </w:tcPr>
          <w:p>
            <w:pPr>
              <w:pStyle w:val="Normal"/>
              <w:rPr/>
            </w:pPr>
            <w:r>
              <w:rPr>
                <w:rFonts w:eastAsia="Arial" w:cs="Arial"/>
                <w:b/>
                <w:bCs/>
                <w:color w:val="FFFFFF"/>
                <w:sz w:val="18"/>
                <w:szCs w:val="18"/>
              </w:rPr>
              <w:t>What It Contains</w:t>
            </w:r>
          </w:p>
        </w:tc>
      </w:tr>
      <w:tr>
        <w:trPr/>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IRIS Solution Intake</w:t>
            </w:r>
          </w:p>
        </w:tc>
        <w:tc>
          <w:tcPr>
            <w:tcW w:w="11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3,091</w:t>
            </w:r>
          </w:p>
        </w:tc>
        <w:tc>
          <w:tcPr>
            <w:tcW w:w="1001"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124</w:t>
            </w:r>
          </w:p>
        </w:tc>
        <w:tc>
          <w:tcPr>
            <w:tcW w:w="543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RITM numbers, stages, requestors, descriptions, SLA data</w:t>
            </w:r>
          </w:p>
        </w:tc>
      </w:tr>
      <w:tr>
        <w:trPr/>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Jira Epics (ABFZ)</w:t>
            </w:r>
          </w:p>
        </w:tc>
        <w:tc>
          <w:tcPr>
            <w:tcW w:w="11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7,210</w:t>
            </w:r>
          </w:p>
        </w:tc>
        <w:tc>
          <w:tcPr>
            <w:tcW w:w="1001"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476</w:t>
            </w:r>
          </w:p>
        </w:tc>
        <w:tc>
          <w:tcPr>
            <w:tcW w:w="543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Summaries with site/type/RITM pattern, components, statuses, issue links</w:t>
            </w:r>
          </w:p>
        </w:tc>
      </w:tr>
      <w:tr>
        <w:trPr/>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Jira User Stories</w:t>
            </w:r>
          </w:p>
        </w:tc>
        <w:tc>
          <w:tcPr>
            <w:tcW w:w="11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6,551</w:t>
            </w:r>
          </w:p>
        </w:tc>
        <w:tc>
          <w:tcPr>
            <w:tcW w:w="1001"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407</w:t>
            </w:r>
          </w:p>
        </w:tc>
        <w:tc>
          <w:tcPr>
            <w:tcW w:w="543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Requirements, acceptance criteria, parent Epic links, sprint data</w:t>
            </w:r>
          </w:p>
        </w:tc>
      </w:tr>
      <w:tr>
        <w:trPr/>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PDF Vendor Invoices</w:t>
            </w:r>
          </w:p>
        </w:tc>
        <w:tc>
          <w:tcPr>
            <w:tcW w:w="11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~2,200</w:t>
            </w:r>
          </w:p>
        </w:tc>
        <w:tc>
          <w:tcPr>
            <w:tcW w:w="1001"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w:t>
            </w:r>
          </w:p>
        </w:tc>
        <w:tc>
          <w:tcPr>
            <w:tcW w:w="543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Line items, unit costs, vendor names, quantities, PO numbers</w:t>
            </w:r>
          </w:p>
        </w:tc>
      </w:tr>
    </w:tbl>
    <w:p>
      <w:pPr>
        <w:pStyle w:val="Normal"/>
        <w:spacing w:before="0" w:after="120"/>
        <w:rPr/>
      </w:pPr>
      <w:r>
        <w:rPr/>
      </w:r>
    </w:p>
    <w:p>
      <w:pPr>
        <w:pStyle w:val="Normal"/>
        <w:spacing w:before="0" w:after="100"/>
        <w:rPr/>
      </w:pPr>
      <w:r>
        <w:rPr>
          <w:rFonts w:eastAsia="Arial" w:cs="Arial"/>
          <w:b/>
          <w:bCs/>
          <w:sz w:val="22"/>
          <w:szCs w:val="22"/>
        </w:rPr>
        <w:t xml:space="preserve">What the ETL Pipeline does: </w:t>
      </w:r>
      <w:r>
        <w:rPr>
          <w:rFonts w:eastAsia="Arial" w:cs="Arial"/>
          <w:sz w:val="22"/>
          <w:szCs w:val="22"/>
        </w:rPr>
        <w:t>Four processing steps transform raw data into a unified format.</w:t>
      </w:r>
    </w:p>
    <w:p>
      <w:pPr>
        <w:pStyle w:val="Normal"/>
        <w:spacing w:before="0" w:after="120"/>
        <w:rPr/>
      </w:pPr>
      <w:r>
        <w:rPr>
          <w:rFonts w:eastAsia="Arial" w:cs="Arial"/>
          <w:sz w:val="22"/>
          <w:szCs w:val="22"/>
        </w:rPr>
        <w:t>Step 1 - Excel Parser: openpyxl reads each XLSX file and extracts all fields into Python dictionaries. Step 2 - PDF OCR Engine: Tesseract + PyMuPDF + pdfplumber extract structured cost data from scanned invoices. Step 3 - Epic Summary Parser: A regex pattern {SITE}, {CC} - {Type} - {RITM} extracts the site name, country code, request type, and linked RITM from each Epic's summary field. Step 4 - Unified Field Mapper: Merges all four sources into a single JSON record per request, reducing 1,007 source fields down to 594 unified schema fields organized in 12 logical sections.</w:t>
      </w:r>
    </w:p>
    <w:p>
      <w:pPr>
        <w:pStyle w:val="Normal"/>
        <w:spacing w:before="0" w:after="100"/>
        <w:rPr/>
      </w:pPr>
      <w:r>
        <w:rPr>
          <w:rFonts w:eastAsia="Arial" w:cs="Arial"/>
          <w:b/>
          <w:bCs/>
          <w:sz w:val="22"/>
          <w:szCs w:val="22"/>
        </w:rPr>
        <w:t xml:space="preserve">What comes out: </w:t>
      </w:r>
      <w:r>
        <w:rPr>
          <w:rFonts w:eastAsia="Arial" w:cs="Arial"/>
          <w:sz w:val="22"/>
          <w:szCs w:val="22"/>
        </w:rPr>
        <w:t>~16,852 unified JSON records stored in Content Sphere's Bronze bucket, partitioned by source (IRIS, Jira, PDF).</w:t>
      </w:r>
    </w:p>
    <w:p>
      <w:pPr>
        <w:pStyle w:val="Heading2"/>
        <w:spacing w:before="280" w:after="120"/>
        <w:rPr/>
      </w:pPr>
      <w:r>
        <w:rPr>
          <w:rFonts w:eastAsia="Arial" w:cs="Arial" w:ascii="Arial" w:hAnsi="Arial"/>
        </w:rPr>
        <w:t>2.2 Silver Layer: Semantic Processing &amp; Embedding</w:t>
      </w:r>
    </w:p>
    <w:p>
      <w:pPr>
        <w:pStyle w:val="Normal"/>
        <w:spacing w:before="0" w:after="120"/>
        <w:rPr/>
      </w:pPr>
      <w:r>
        <w:rPr>
          <w:rFonts w:eastAsia="Arial" w:cs="Arial"/>
          <w:sz w:val="22"/>
          <w:szCs w:val="22"/>
        </w:rPr>
        <w:t>The Silver Layer is where the magic happens. This is where we transform structured data into something an AI model can understand and search. The key insight: embedding models (the AI that converts text to numbers) work much better on natural language paragraphs than on raw key-value pairs.</w:t>
      </w:r>
    </w:p>
    <w:p>
      <w:pPr>
        <w:pStyle w:val="Heading3"/>
        <w:spacing w:before="280" w:after="120"/>
        <w:rPr/>
      </w:pPr>
      <w:r>
        <w:rPr>
          <w:rFonts w:eastAsia="Arial" w:cs="Arial" w:ascii="Arial" w:hAnsi="Arial"/>
        </w:rPr>
        <w:t>2.2.1 Step 1: Text Cleaning</w:t>
      </w:r>
    </w:p>
    <w:p>
      <w:pPr>
        <w:pStyle w:val="Normal"/>
        <w:spacing w:before="0" w:after="120"/>
        <w:rPr/>
      </w:pPr>
      <w:r>
        <w:rPr>
          <w:rFonts w:eastAsia="Arial" w:cs="Arial"/>
          <w:sz w:val="22"/>
          <w:szCs w:val="22"/>
        </w:rPr>
        <w:t>The clean_text() function removes noise that would hurt embedding quality. Jira markup like [~username], {panel:title=...}, and {code:...} is stripped. URLs are replaced with [URL], email addresses with [EMAIL], and MAC addresses with [MAC]. Carriage return artifacts (_x005F_x000D_) are removed, and whitespace is normalized. This ensures the embedding model focuses on meaningful content, not system noise.</w:t>
      </w:r>
    </w:p>
    <w:p>
      <w:pPr>
        <w:pStyle w:val="Heading3"/>
        <w:spacing w:before="280" w:after="120"/>
        <w:rPr/>
      </w:pPr>
      <w:r>
        <w:rPr>
          <w:rFonts w:eastAsia="Arial" w:cs="Arial" w:ascii="Arial" w:hAnsi="Arial"/>
        </w:rPr>
        <w:t>2.2.2 Step 2: Semantic Document Generation (THE CORE)</w:t>
      </w:r>
    </w:p>
    <w:p>
      <w:pPr>
        <w:pStyle w:val="Normal"/>
        <w:spacing w:before="0" w:after="120"/>
        <w:rPr/>
      </w:pPr>
      <w:r>
        <w:rPr>
          <w:rFonts w:eastAsia="Arial" w:cs="Arial"/>
          <w:sz w:val="22"/>
          <w:szCs w:val="22"/>
        </w:rPr>
        <w:t>This is the most important step in the entire pipeline. Instead of feeding raw JSON fields to the embedding model, we convert each record into a natural language document using semantic templates. Here is why this matters:</w:t>
      </w:r>
    </w:p>
    <w:p>
      <w:pPr>
        <w:pStyle w:val="Normal"/>
        <w:spacing w:before="0" w:after="100"/>
        <w:rPr/>
      </w:pPr>
      <w:r>
        <w:rPr>
          <w:rFonts w:eastAsia="Arial" w:cs="Arial"/>
          <w:b/>
          <w:bCs/>
          <w:sz w:val="22"/>
          <w:szCs w:val="22"/>
        </w:rPr>
        <w:t xml:space="preserve">Bad (raw key-value): </w:t>
      </w:r>
      <w:r>
        <w:rPr>
          <w:rFonts w:eastAsia="Arial" w:cs="Arial"/>
          <w:sz w:val="22"/>
          <w:szCs w:val="22"/>
        </w:rPr>
        <w:t>'site_name: JACKSONVILLE, site_country_code: US, site_id: 5619, site_region: NA, site_tier: Tier_1'</w:t>
      </w:r>
    </w:p>
    <w:p>
      <w:pPr>
        <w:pStyle w:val="Normal"/>
        <w:spacing w:before="0" w:after="100"/>
        <w:rPr/>
      </w:pPr>
      <w:r>
        <w:rPr>
          <w:rFonts w:eastAsia="Arial" w:cs="Arial"/>
          <w:b/>
          <w:bCs/>
          <w:sz w:val="22"/>
          <w:szCs w:val="22"/>
        </w:rPr>
        <w:t xml:space="preserve">Good (semantic text): </w:t>
      </w:r>
      <w:r>
        <w:rPr>
          <w:rFonts w:eastAsia="Arial" w:cs="Arial"/>
          <w:sz w:val="22"/>
          <w:szCs w:val="22"/>
        </w:rPr>
        <w:t>'This request is for site JACKSONVILLE, US (Site ID: 5619). The site is in the NA region and is classified as Tier 1. The sector is MedTech.'</w:t>
      </w:r>
    </w:p>
    <w:p>
      <w:pPr>
        <w:pStyle w:val="Normal"/>
        <w:spacing w:before="0" w:after="120"/>
        <w:rPr/>
      </w:pPr>
      <w:r>
        <w:rPr>
          <w:rFonts w:eastAsia="Arial" w:cs="Arial"/>
          <w:sz w:val="22"/>
          <w:szCs w:val="22"/>
        </w:rPr>
        <w:t>The semantic version reads like a human wrote it. The embedding model understands it much better because it was trained on natural language text, not on database field names.</w:t>
      </w:r>
    </w:p>
    <w:p>
      <w:pPr>
        <w:pStyle w:val="Normal"/>
        <w:spacing w:before="0" w:after="120"/>
        <w:rPr/>
      </w:pPr>
      <w:r>
        <w:rPr>
          <w:rFonts w:eastAsia="Arial" w:cs="Arial"/>
          <w:sz w:val="22"/>
          <w:szCs w:val="22"/>
        </w:rPr>
        <w:t>Each record produces 8 semantic chunks that can be embedded independently: identity_summary (RITM + Epic + Site identifiers), classification (request type + capability center + confidence), description (the business problem in natural language), scope_people (components, team assignments, labels), timeline (dates, status, SLA), user_stories (linked Jira stories and sprints), network (LAN/WAN/firewall requirements if applicable), and quotation_cost (vendor pricing and cost estimates if applicable). Empty sections are omitted because shorter documents embed better.</w:t>
      </w:r>
    </w:p>
    <w:p>
      <w:pPr>
        <w:pStyle w:val="Heading3"/>
        <w:spacing w:before="280" w:after="120"/>
        <w:rPr/>
      </w:pPr>
      <w:r>
        <w:rPr>
          <w:rFonts w:eastAsia="Arial" w:cs="Arial" w:ascii="Arial" w:hAnsi="Arial"/>
        </w:rPr>
        <w:t>2.2.3 Step 3: Embedding Generation</w:t>
      </w:r>
    </w:p>
    <w:p>
      <w:pPr>
        <w:pStyle w:val="Normal"/>
        <w:spacing w:before="0" w:after="120"/>
        <w:rPr/>
      </w:pPr>
      <w:r>
        <w:rPr>
          <w:rFonts w:eastAsia="Arial" w:cs="Arial"/>
          <w:sz w:val="22"/>
          <w:szCs w:val="22"/>
        </w:rPr>
        <w:t>Each semantic chunk is passed through the all-MiniLM-L6-v2 sentence-transformer model, which outputs a 384-dimensional vector (an array of 384 numbers). These vectors capture the 'meaning' of the text in a way that allows mathematical comparison. Two texts about similar topics will have vectors that are close together in 384-dimensional space. We L2-normalize all vectors so we can use cosine similarity to measure how similar two texts are (score from 0 to 1, where 1 means identical meaning).</w:t>
      </w:r>
    </w:p>
    <w:p>
      <w:pPr>
        <w:pStyle w:val="Heading3"/>
        <w:spacing w:before="280" w:after="120"/>
        <w:rPr/>
      </w:pPr>
      <w:r>
        <w:rPr>
          <w:rFonts w:eastAsia="Arial" w:cs="Arial" w:ascii="Arial" w:hAnsi="Arial"/>
        </w:rPr>
        <w:t>2.2.4 Step 4: Metadata Extraction &amp; Vector Storage</w:t>
      </w:r>
    </w:p>
    <w:p>
      <w:pPr>
        <w:pStyle w:val="Normal"/>
        <w:spacing w:before="0" w:after="120"/>
        <w:rPr/>
      </w:pPr>
      <w:r>
        <w:rPr>
          <w:rFonts w:eastAsia="Arial" w:cs="Arial"/>
          <w:sz w:val="22"/>
          <w:szCs w:val="22"/>
        </w:rPr>
        <w:t>Separately from the embeddings, we extract filterable metadata (site_name, region, sector, request_type, priority, etc.) that gets stored alongside the vectors. This allows filtered retrieval: for example, searching for similar tickets only from the same site or region. All embeddings, semantic documents, and metadata are stored in Content Sphere's Silver bucket and loaded into the LangFlow-compatible vector store (AstraDB or Chroma) with an HNSW index for sub-3ms query latency.</w:t>
      </w:r>
    </w:p>
    <w:p>
      <w:pPr>
        <w:pStyle w:val="Heading2"/>
        <w:spacing w:before="280" w:after="120"/>
        <w:rPr/>
      </w:pPr>
      <w:r>
        <w:rPr>
          <w:rFonts w:eastAsia="Arial" w:cs="Arial" w:ascii="Arial" w:hAnsi="Arial"/>
        </w:rPr>
        <w:t>2.3 Gold Layer: Multi-Agent RAG System &amp; Chat UI</w:t>
      </w:r>
    </w:p>
    <w:p>
      <w:pPr>
        <w:pStyle w:val="Normal"/>
        <w:spacing w:before="0" w:after="120"/>
        <w:rPr/>
      </w:pPr>
      <w:r>
        <w:rPr>
          <w:rFonts w:eastAsia="Arial" w:cs="Arial"/>
          <w:sz w:val="22"/>
          <w:szCs w:val="22"/>
        </w:rPr>
        <w:t>The Gold Layer is what users interact with. It consists of the Chainlit chat interface, the LangFlow multi-agent backend with 7 specialized agents, and the RAG (Retrieval-Augmented Generation) pipeline that connects user questions to historical data.</w:t>
      </w:r>
    </w:p>
    <w:p>
      <w:pPr>
        <w:pStyle w:val="Normal"/>
        <w:rPr/>
      </w:pPr>
      <w:r>
        <w:rPr/>
      </w:r>
      <w:r>
        <w:br w:type="page"/>
      </w:r>
    </w:p>
    <w:p>
      <w:pPr>
        <w:pStyle w:val="Heading1"/>
        <w:spacing w:before="0" w:after="120"/>
        <w:rPr/>
      </w:pPr>
      <w:r>
        <w:rPr>
          <w:rFonts w:eastAsia="Arial" w:cs="Arial" w:ascii="Arial" w:hAnsi="Arial"/>
        </w:rPr>
        <w:t>3. How the 7 Agents Work: A Complete Walkthrough</w:t>
      </w:r>
    </w:p>
    <w:p>
      <w:pPr>
        <w:pStyle w:val="Normal"/>
        <w:spacing w:before="0" w:after="120"/>
        <w:rPr/>
      </w:pPr>
      <w:r>
        <w:rPr>
          <w:rFonts w:eastAsia="Arial" w:cs="Arial"/>
          <w:sz w:val="22"/>
          <w:szCs w:val="22"/>
        </w:rPr>
        <w:t>Let us walk through exactly what happens when a user sends a message like: 'I need to install 12 network drops at Jacksonville site 5619 for new wireless access points in the warehouse.'</w:t>
      </w:r>
    </w:p>
    <w:p>
      <w:pPr>
        <w:pStyle w:val="Heading2"/>
        <w:spacing w:before="280" w:after="120"/>
        <w:rPr/>
      </w:pPr>
      <w:r>
        <w:rPr>
          <w:rFonts w:eastAsia="Arial" w:cs="Arial" w:ascii="Arial" w:hAnsi="Arial"/>
        </w:rPr>
        <w:t>3.1 Agent 1: Supervisor (The Traffic Controller)</w:t>
      </w:r>
    </w:p>
    <w:p>
      <w:pPr>
        <w:pStyle w:val="Normal"/>
        <w:spacing w:before="0" w:after="120"/>
        <w:rPr/>
      </w:pPr>
      <w:r>
        <w:rPr>
          <w:rFonts w:eastAsia="Arial" w:cs="Arial"/>
          <w:sz w:val="22"/>
          <w:szCs w:val="22"/>
        </w:rPr>
        <w:t>Every message first hits the Supervisor Agent. Think of it as a receptionist at a hospital who does not treat patients but decides which department you need. The Supervisor receives the user's message, checks if there is an active conversation in progress (stored in Redis), and routes the message to the Intent Classifier if this is a new request or back to the active specialized agent if the user is in the middle of answering follow-up questions.</w:t>
      </w:r>
    </w:p>
    <w:p>
      <w:pPr>
        <w:pStyle w:val="Normal"/>
        <w:spacing w:before="0" w:after="100"/>
        <w:rPr/>
      </w:pPr>
      <w:r>
        <w:rPr>
          <w:rFonts w:eastAsia="Arial" w:cs="Arial"/>
          <w:b/>
          <w:bCs/>
          <w:sz w:val="22"/>
          <w:szCs w:val="22"/>
        </w:rPr>
        <w:t xml:space="preserve">For our example: </w:t>
      </w:r>
      <w:r>
        <w:rPr>
          <w:rFonts w:eastAsia="Arial" w:cs="Arial"/>
          <w:sz w:val="22"/>
          <w:szCs w:val="22"/>
        </w:rPr>
        <w:t>This is a new message, so the Supervisor sends it to the Intent Classifier.</w:t>
      </w:r>
    </w:p>
    <w:p>
      <w:pPr>
        <w:pStyle w:val="Heading2"/>
        <w:spacing w:before="280" w:after="120"/>
        <w:rPr/>
      </w:pPr>
      <w:r>
        <w:rPr>
          <w:rFonts w:eastAsia="Arial" w:cs="Arial" w:ascii="Arial" w:hAnsi="Arial"/>
        </w:rPr>
        <w:t>3.2 Agent 2: Intent Classifier (The Diagnostician)</w:t>
      </w:r>
    </w:p>
    <w:p>
      <w:pPr>
        <w:pStyle w:val="Normal"/>
        <w:spacing w:before="0" w:after="120"/>
        <w:rPr/>
      </w:pPr>
      <w:r>
        <w:rPr>
          <w:rFonts w:eastAsia="Arial" w:cs="Arial"/>
          <w:sz w:val="22"/>
          <w:szCs w:val="22"/>
        </w:rPr>
        <w:t>The Intent Classifier is where historical data directly powers the AI's decision-making. Here is what happens step by step:</w:t>
      </w:r>
    </w:p>
    <w:p>
      <w:pPr>
        <w:pStyle w:val="Normal"/>
        <w:spacing w:before="0" w:after="120"/>
        <w:rPr/>
      </w:pPr>
      <w:r>
        <w:rPr>
          <w:rFonts w:eastAsia="Arial" w:cs="Arial"/>
          <w:sz w:val="22"/>
          <w:szCs w:val="22"/>
        </w:rPr>
        <w:t>RAG Step 1 - Query Embedding: The user's message is converted to a 384-dim vector using the same all-MiniLM-L6-v2 model that encoded the historical data.</w:t>
      </w:r>
    </w:p>
    <w:p>
      <w:pPr>
        <w:pStyle w:val="Normal"/>
        <w:spacing w:before="0" w:after="120"/>
        <w:rPr/>
      </w:pPr>
      <w:r>
        <w:rPr>
          <w:rFonts w:eastAsia="Arial" w:cs="Arial"/>
          <w:sz w:val="22"/>
          <w:szCs w:val="22"/>
        </w:rPr>
        <w:t>RAG Step 2 - Vector Search: This vector is compared against all ~16,852 historical ticket vectors in the vector store. The system retrieves the Top-5 most similar tickets in under 3 milliseconds. For our example, it might find: (1) 'JACKSONVILLE, US - InfoLink Wireless Connectivity - RITM000023590001' (similarity: 0.94), (2) 'MEMPHIS, US - Warehouse WiFi AP Installation - RITM000023102847' (similarity: 0.87), and three more similar network installation tickets.</w:t>
      </w:r>
    </w:p>
    <w:p>
      <w:pPr>
        <w:pStyle w:val="Normal"/>
        <w:spacing w:before="0" w:after="120"/>
        <w:rPr/>
      </w:pPr>
      <w:r>
        <w:rPr>
          <w:rFonts w:eastAsia="Arial" w:cs="Arial"/>
          <w:sz w:val="22"/>
          <w:szCs w:val="22"/>
        </w:rPr>
        <w:t>RAG Step 3 - LLM Classification: The original user message plus the 5 retrieved historical tickets are sent to the LLM (Claude/GPT-4) with a classification prompt. The LLM sees that all 5 similar tickets were NetworkRequests with LAN/WAN components, so it classifies this as: request_type: NetworkRequest, capability_center: ApprovedProjectDemand, confidence_score: 0.96.</w:t>
      </w:r>
    </w:p>
    <w:p>
      <w:pPr>
        <w:pStyle w:val="Normal"/>
        <w:spacing w:before="0" w:after="100"/>
        <w:rPr/>
      </w:pPr>
      <w:r>
        <w:rPr>
          <w:rFonts w:eastAsia="Arial" w:cs="Arial"/>
          <w:b/>
          <w:bCs/>
          <w:sz w:val="22"/>
          <w:szCs w:val="22"/>
        </w:rPr>
        <w:t xml:space="preserve">Key insight: </w:t>
      </w:r>
      <w:r>
        <w:rPr>
          <w:rFonts w:eastAsia="Arial" w:cs="Arial"/>
          <w:sz w:val="22"/>
          <w:szCs w:val="22"/>
        </w:rPr>
        <w:t>Without the historical data, the classifier would have to rely solely on keywords. With RAG, it has 5 concrete examples of how similar requests were classified, making it far more accurate.</w:t>
      </w:r>
    </w:p>
    <w:p>
      <w:pPr>
        <w:pStyle w:val="Heading2"/>
        <w:spacing w:before="280" w:after="120"/>
        <w:rPr/>
      </w:pPr>
      <w:r>
        <w:rPr>
          <w:rFonts w:eastAsia="Arial" w:cs="Arial" w:ascii="Arial" w:hAnsi="Arial"/>
        </w:rPr>
        <w:t>3.3 Agent 3: Clarity Agent (The Interviewer)</w:t>
      </w:r>
    </w:p>
    <w:p>
      <w:pPr>
        <w:pStyle w:val="Normal"/>
        <w:spacing w:before="0" w:after="120"/>
        <w:rPr/>
      </w:pPr>
      <w:r>
        <w:rPr>
          <w:rFonts w:eastAsia="Arial" w:cs="Arial"/>
          <w:sz w:val="22"/>
          <w:szCs w:val="22"/>
        </w:rPr>
        <w:t>The Clarity Agent receives the classification result (NetworkRequest, 0.96 confidence) and the user's original message. Its job is to check what required information is still missing and ask for it.</w:t>
      </w:r>
    </w:p>
    <w:p>
      <w:pPr>
        <w:pStyle w:val="Normal"/>
        <w:spacing w:before="0" w:after="120"/>
        <w:rPr/>
      </w:pPr>
      <w:r>
        <w:rPr>
          <w:rFonts w:eastAsia="Arial" w:cs="Arial"/>
          <w:sz w:val="22"/>
          <w:szCs w:val="22"/>
        </w:rPr>
        <w:t>For a NetworkRequest, the required fields are: existing MLL Intake RITM (required prerequisite), network change type (LAN/WAN, Firewall, Switch), number of cable drops, switch names, and ICE or standard network zone. The Clarity Agent parses the user's message and sees: cable drops = 12 (extracted), site = Jacksonville 5619 (extracted), purpose = wireless access points (extracted). Still missing: existing Intake RITM, network type confirmation, switch names, network zone.</w:t>
      </w:r>
    </w:p>
    <w:p>
      <w:pPr>
        <w:pStyle w:val="Normal"/>
        <w:spacing w:before="0" w:after="120"/>
        <w:rPr/>
      </w:pPr>
      <w:r>
        <w:rPr>
          <w:rFonts w:eastAsia="Arial" w:cs="Arial"/>
          <w:sz w:val="22"/>
          <w:szCs w:val="22"/>
        </w:rPr>
        <w:t>The Clarity Agent uses the similar historical tickets from the Intent Classifier to suggest smart defaults. For example, the InfoLink ticket at Jacksonville used switches JAX-MDF-SW01 and JAX-IDF2-SW03 with ICE zone, so the agent can suggest: 'Do you have an existing MLL Intake RITM for this request? Also, based on similar projects at Jacksonville, this would typically be an ICE zone network with switches JAX-MDF-SW01. Can you confirm?'</w:t>
      </w:r>
    </w:p>
    <w:p>
      <w:pPr>
        <w:pStyle w:val="Normal"/>
        <w:spacing w:before="0" w:after="100"/>
        <w:rPr/>
      </w:pPr>
      <w:r>
        <w:rPr>
          <w:rFonts w:eastAsia="Arial" w:cs="Arial"/>
          <w:b/>
          <w:bCs/>
          <w:sz w:val="22"/>
          <w:szCs w:val="22"/>
        </w:rPr>
        <w:t xml:space="preserve">Key insight: </w:t>
      </w:r>
      <w:r>
        <w:rPr>
          <w:rFonts w:eastAsia="Arial" w:cs="Arial"/>
          <w:sz w:val="22"/>
          <w:szCs w:val="22"/>
        </w:rPr>
        <w:t>The Clarity Agent does not just ask generic questions. It uses historical data to pre-fill likely values and ask targeted, context-aware questions, reducing the number of back-and-forth messages needed.</w:t>
      </w:r>
    </w:p>
    <w:p>
      <w:pPr>
        <w:pStyle w:val="Heading2"/>
        <w:spacing w:before="280" w:after="120"/>
        <w:rPr/>
      </w:pPr>
      <w:r>
        <w:rPr>
          <w:rFonts w:eastAsia="Arial" w:cs="Arial" w:ascii="Arial" w:hAnsi="Arial"/>
        </w:rPr>
        <w:t>3.4 Agents 4-7: Specialized Fulfillment Agents</w:t>
      </w:r>
    </w:p>
    <w:p>
      <w:pPr>
        <w:pStyle w:val="Normal"/>
        <w:spacing w:before="0" w:after="120"/>
        <w:rPr/>
      </w:pPr>
      <w:r>
        <w:rPr>
          <w:rFonts w:eastAsia="Arial" w:cs="Arial"/>
          <w:sz w:val="22"/>
          <w:szCs w:val="22"/>
        </w:rPr>
        <w:t>Once the Clarity Agent has collected all required fields, the request is routed to the appropriate specialized agent.</w:t>
      </w:r>
    </w:p>
    <w:p>
      <w:pPr>
        <w:pStyle w:val="Normal"/>
        <w:spacing w:before="0" w:after="100"/>
        <w:rPr/>
      </w:pPr>
      <w:r>
        <w:rPr>
          <w:rFonts w:eastAsia="Arial" w:cs="Arial"/>
          <w:b/>
          <w:bCs/>
          <w:sz w:val="22"/>
          <w:szCs w:val="22"/>
        </w:rPr>
        <w:t xml:space="preserve">Agent 4 - Network Agent: </w:t>
      </w:r>
      <w:r>
        <w:rPr>
          <w:rFonts w:eastAsia="Arial" w:cs="Arial"/>
          <w:sz w:val="22"/>
          <w:szCs w:val="22"/>
        </w:rPr>
        <w:t>For our example, this agent takes the collected fields, validates that the parent Intake RITM exists, creates a Network RITM in IRIS linked to the parent, and assigns P3 priority (standard). It returns: 'Network RITM RITM000023600XXX has been created and linked to your Intake request. It will be reviewed in the next intake triage call. Priority: P3 Standard.'</w:t>
      </w:r>
    </w:p>
    <w:p>
      <w:pPr>
        <w:pStyle w:val="Normal"/>
        <w:spacing w:before="0" w:after="100"/>
        <w:rPr/>
      </w:pPr>
      <w:r>
        <w:rPr>
          <w:rFonts w:eastAsia="Arial" w:cs="Arial"/>
          <w:b/>
          <w:bCs/>
          <w:sz w:val="22"/>
          <w:szCs w:val="22"/>
        </w:rPr>
        <w:t xml:space="preserve">Agent 5 - Intake Agent: </w:t>
      </w:r>
      <w:r>
        <w:rPr>
          <w:rFonts w:eastAsia="Arial" w:cs="Arial"/>
          <w:sz w:val="22"/>
          <w:szCs w:val="22"/>
        </w:rPr>
        <w:t>Handles new Solution Intake requests that do not involve network changes. Collects Site ID, ZCode, Capability Center, Nexus ID, and business problem, then creates an IRIS RITM that auto-triggers a Jira Epic.</w:t>
      </w:r>
    </w:p>
    <w:p>
      <w:pPr>
        <w:pStyle w:val="Normal"/>
        <w:spacing w:before="0" w:after="100"/>
        <w:rPr/>
      </w:pPr>
      <w:r>
        <w:rPr>
          <w:rFonts w:eastAsia="Arial" w:cs="Arial"/>
          <w:b/>
          <w:bCs/>
          <w:sz w:val="22"/>
          <w:szCs w:val="22"/>
        </w:rPr>
        <w:t xml:space="preserve">Agent 6 - Incident Agent: </w:t>
      </w:r>
      <w:r>
        <w:rPr>
          <w:rFonts w:eastAsia="Arial" w:cs="Arial"/>
          <w:sz w:val="22"/>
          <w:szCs w:val="22"/>
        </w:rPr>
        <w:t>Handles break-fix scenarios where existing functionality stopped working. Distinguishes between 'something that never worked' (Intake) and 'something that was working but broke' (Incident).</w:t>
      </w:r>
    </w:p>
    <w:p>
      <w:pPr>
        <w:pStyle w:val="Normal"/>
        <w:spacing w:before="0" w:after="100"/>
        <w:rPr/>
      </w:pPr>
      <w:r>
        <w:rPr>
          <w:rFonts w:eastAsia="Arial" w:cs="Arial"/>
          <w:b/>
          <w:bCs/>
          <w:sz w:val="22"/>
          <w:szCs w:val="22"/>
        </w:rPr>
        <w:t xml:space="preserve">Agent 7 - Access Agent: </w:t>
      </w:r>
      <w:r>
        <w:rPr>
          <w:rFonts w:eastAsia="Arial" w:cs="Arial"/>
          <w:sz w:val="22"/>
          <w:szCs w:val="22"/>
        </w:rPr>
        <w:t>Handles application access requests, particularly TS ENGAGE-PROD. Guides users through the IRIS account creation process step by step.</w:t>
      </w:r>
    </w:p>
    <w:p>
      <w:pPr>
        <w:pStyle w:val="Normal"/>
        <w:rPr/>
      </w:pPr>
      <w:r>
        <w:rPr/>
      </w:r>
      <w:r>
        <w:br w:type="page"/>
      </w:r>
    </w:p>
    <w:p>
      <w:pPr>
        <w:pStyle w:val="Heading1"/>
        <w:spacing w:before="0" w:after="120"/>
        <w:rPr/>
      </w:pPr>
      <w:r>
        <w:rPr>
          <w:rFonts w:eastAsia="Arial" w:cs="Arial" w:ascii="Arial" w:hAnsi="Arial"/>
        </w:rPr>
        <w:t>4. Complete Data Flow: From Historical Record to User Answer</w:t>
      </w:r>
    </w:p>
    <w:p>
      <w:pPr>
        <w:pStyle w:val="Normal"/>
        <w:spacing w:before="0" w:after="120"/>
        <w:rPr/>
      </w:pPr>
      <w:r>
        <w:rPr>
          <w:rFonts w:eastAsia="Arial" w:cs="Arial"/>
          <w:sz w:val="22"/>
          <w:szCs w:val="22"/>
        </w:rPr>
        <w:t>Here is the complete end-to-end flow, connecting all three layers:</w:t>
      </w:r>
    </w:p>
    <w:p>
      <w:pPr>
        <w:pStyle w:val="Heading2"/>
        <w:spacing w:before="280" w:after="120"/>
        <w:rPr/>
      </w:pPr>
      <w:r>
        <w:rPr>
          <w:rFonts w:eastAsia="Arial" w:cs="Arial" w:ascii="Arial" w:hAnsi="Arial"/>
        </w:rPr>
        <w:t>4.1 Offline Pipeline (Runs Once, Updated Periodically)</w:t>
      </w:r>
    </w:p>
    <w:p>
      <w:pPr>
        <w:pStyle w:val="Normal"/>
        <w:spacing w:before="0" w:after="120"/>
        <w:rPr/>
      </w:pPr>
      <w:r>
        <w:rPr>
          <w:rFonts w:eastAsia="Arial" w:cs="Arial"/>
          <w:sz w:val="22"/>
          <w:szCs w:val="22"/>
        </w:rPr>
        <w:t>This pipeline processes all historical data before any user ever sends a message. It runs during system setup and is re-run when new historical data is available.</w:t>
      </w:r>
    </w:p>
    <w:p>
      <w:pPr>
        <w:pStyle w:val="Normal"/>
        <w:spacing w:before="0" w:after="120"/>
        <w:rPr/>
      </w:pPr>
      <w:r>
        <w:rPr>
          <w:rFonts w:eastAsia="Arial" w:cs="Arial"/>
          <w:sz w:val="22"/>
          <w:szCs w:val="22"/>
        </w:rPr>
        <w:t>Phase 1 (Bronze): Raw Excel files and PDFs are ingested through the ETL pipeline. Each source is parsed, normalized, and merged into unified JSON records. Output: ~16,852 records stored in Content Sphere Bronze bucket.</w:t>
      </w:r>
    </w:p>
    <w:p>
      <w:pPr>
        <w:pStyle w:val="Normal"/>
        <w:spacing w:before="0" w:after="120"/>
        <w:rPr/>
      </w:pPr>
      <w:r>
        <w:rPr>
          <w:rFonts w:eastAsia="Arial" w:cs="Arial"/>
          <w:sz w:val="22"/>
          <w:szCs w:val="22"/>
        </w:rPr>
        <w:t>Phase 2 (Silver): Each unified JSON record is cleaned (remove noise), converted to a semantic document (8 natural language chunks), embedded (384-dim vectors via all-MiniLM-L6-v2), and metadata-extracted. Output: Vectors loaded into LangFlow vector store. Semantic documents and metadata stored in Content Sphere Silver bucket.</w:t>
      </w:r>
    </w:p>
    <w:p>
      <w:pPr>
        <w:pStyle w:val="Heading2"/>
        <w:spacing w:before="280" w:after="120"/>
        <w:rPr/>
      </w:pPr>
      <w:r>
        <w:rPr>
          <w:rFonts w:eastAsia="Arial" w:cs="Arial" w:ascii="Arial" w:hAnsi="Arial"/>
        </w:rPr>
        <w:t>4.2 Online Pipeline (Runs for Every User Message)</w:t>
      </w:r>
    </w:p>
    <w:p>
      <w:pPr>
        <w:pStyle w:val="Normal"/>
        <w:spacing w:before="0" w:after="120"/>
        <w:rPr/>
      </w:pPr>
      <w:r>
        <w:rPr>
          <w:rFonts w:eastAsia="Arial" w:cs="Arial"/>
          <w:sz w:val="22"/>
          <w:szCs w:val="22"/>
        </w:rPr>
        <w:t>This pipeline runs in real-time when a user sends a message. Phase 3 (Gold): User message arrives at Chainlit UI, is forwarded to LangFlow's REST API, routed by Supervisor to Intent Classifier. The classifier embeds the query, searches the vector store for Top-5 similar historical tickets, and classifies using LLM + RAG context. The Clarity Agent checks for missing fields, asks follow-ups using smart defaults from similar tickets. The specialized agent fulfills the request by calling IRIS/Jira APIs. The response streams back to Chainlit UI. All actions logged to Content Sphere Gold bucket.</w:t>
      </w:r>
    </w:p>
    <w:p>
      <w:pPr>
        <w:pStyle w:val="Heading2"/>
        <w:spacing w:before="280" w:after="120"/>
        <w:rPr/>
      </w:pPr>
      <w:r>
        <w:rPr>
          <w:rFonts w:eastAsia="Arial" w:cs="Arial" w:ascii="Arial" w:hAnsi="Arial"/>
        </w:rPr>
        <w:t>4.3 Content Sphere Storage Strategy</w:t>
      </w:r>
    </w:p>
    <w:tbl>
      <w:tblPr>
        <w:tblW w:w="9840" w:type="dxa"/>
        <w:jc w:val="left"/>
        <w:tblInd w:w="0" w:type="dxa"/>
        <w:tblLayout w:type="fixed"/>
        <w:tblCellMar>
          <w:top w:w="60" w:type="dxa"/>
          <w:left w:w="100" w:type="dxa"/>
          <w:bottom w:w="60" w:type="dxa"/>
          <w:right w:w="100" w:type="dxa"/>
        </w:tblCellMar>
      </w:tblPr>
      <w:tblGrid>
        <w:gridCol w:w="1799"/>
        <w:gridCol w:w="2501"/>
        <w:gridCol w:w="2799"/>
        <w:gridCol w:w="2740"/>
      </w:tblGrid>
      <w:tr>
        <w:trPr/>
        <w:tc>
          <w:tcPr>
            <w:tcW w:w="1799" w:type="dxa"/>
            <w:tcBorders>
              <w:top w:val="single" w:sz="2" w:space="0" w:color="CCCCCC"/>
              <w:left w:val="single" w:sz="2" w:space="0" w:color="CCCCCC"/>
              <w:bottom w:val="single" w:sz="2" w:space="0" w:color="CCCCCC"/>
              <w:right w:val="single" w:sz="2" w:space="0" w:color="CCCCCC"/>
            </w:tcBorders>
            <w:shd w:fill="1A237E" w:val="clear"/>
          </w:tcPr>
          <w:p>
            <w:pPr>
              <w:pStyle w:val="Normal"/>
              <w:rPr/>
            </w:pPr>
            <w:r>
              <w:rPr>
                <w:rFonts w:eastAsia="Arial" w:cs="Arial"/>
                <w:b/>
                <w:bCs/>
                <w:color w:val="FFFFFF"/>
                <w:sz w:val="18"/>
                <w:szCs w:val="18"/>
              </w:rPr>
              <w:t>Bucket</w:t>
            </w:r>
          </w:p>
        </w:tc>
        <w:tc>
          <w:tcPr>
            <w:tcW w:w="2501" w:type="dxa"/>
            <w:tcBorders>
              <w:top w:val="single" w:sz="2" w:space="0" w:color="CCCCCC"/>
              <w:left w:val="single" w:sz="2" w:space="0" w:color="CCCCCC"/>
              <w:bottom w:val="single" w:sz="2" w:space="0" w:color="CCCCCC"/>
              <w:right w:val="single" w:sz="2" w:space="0" w:color="CCCCCC"/>
            </w:tcBorders>
            <w:shd w:fill="1A237E" w:val="clear"/>
          </w:tcPr>
          <w:p>
            <w:pPr>
              <w:pStyle w:val="Normal"/>
              <w:rPr/>
            </w:pPr>
            <w:r>
              <w:rPr>
                <w:rFonts w:eastAsia="Arial" w:cs="Arial"/>
                <w:b/>
                <w:bCs/>
                <w:color w:val="FFFFFF"/>
                <w:sz w:val="18"/>
                <w:szCs w:val="18"/>
              </w:rPr>
              <w:t>Contents</w:t>
            </w:r>
          </w:p>
        </w:tc>
        <w:tc>
          <w:tcPr>
            <w:tcW w:w="2799" w:type="dxa"/>
            <w:tcBorders>
              <w:top w:val="single" w:sz="2" w:space="0" w:color="CCCCCC"/>
              <w:left w:val="single" w:sz="2" w:space="0" w:color="CCCCCC"/>
              <w:bottom w:val="single" w:sz="2" w:space="0" w:color="CCCCCC"/>
              <w:right w:val="single" w:sz="2" w:space="0" w:color="CCCCCC"/>
            </w:tcBorders>
            <w:shd w:fill="1A237E" w:val="clear"/>
          </w:tcPr>
          <w:p>
            <w:pPr>
              <w:pStyle w:val="Normal"/>
              <w:rPr/>
            </w:pPr>
            <w:r>
              <w:rPr>
                <w:rFonts w:eastAsia="Arial" w:cs="Arial"/>
                <w:b/>
                <w:bCs/>
                <w:color w:val="FFFFFF"/>
                <w:sz w:val="18"/>
                <w:szCs w:val="18"/>
              </w:rPr>
              <w:t>Format</w:t>
            </w:r>
          </w:p>
        </w:tc>
        <w:tc>
          <w:tcPr>
            <w:tcW w:w="2740" w:type="dxa"/>
            <w:tcBorders>
              <w:top w:val="single" w:sz="2" w:space="0" w:color="CCCCCC"/>
              <w:left w:val="single" w:sz="2" w:space="0" w:color="CCCCCC"/>
              <w:bottom w:val="single" w:sz="2" w:space="0" w:color="CCCCCC"/>
              <w:right w:val="single" w:sz="2" w:space="0" w:color="CCCCCC"/>
            </w:tcBorders>
            <w:shd w:fill="1A237E" w:val="clear"/>
          </w:tcPr>
          <w:p>
            <w:pPr>
              <w:pStyle w:val="Normal"/>
              <w:rPr/>
            </w:pPr>
            <w:r>
              <w:rPr>
                <w:rFonts w:eastAsia="Arial" w:cs="Arial"/>
                <w:b/>
                <w:bCs/>
                <w:color w:val="FFFFFF"/>
                <w:sz w:val="18"/>
                <w:szCs w:val="18"/>
              </w:rPr>
              <w:t>Update Frequency</w:t>
            </w:r>
          </w:p>
        </w:tc>
      </w:tr>
      <w:tr>
        <w:trPr/>
        <w:tc>
          <w:tcPr>
            <w:tcW w:w="1799" w:type="dxa"/>
            <w:tcBorders>
              <w:top w:val="single" w:sz="2" w:space="0" w:color="CCCCCC"/>
              <w:left w:val="single" w:sz="2" w:space="0" w:color="CCCCCC"/>
              <w:bottom w:val="single" w:sz="2" w:space="0" w:color="CCCCCC"/>
              <w:right w:val="single" w:sz="2" w:space="0" w:color="CCCCCC"/>
            </w:tcBorders>
            <w:shd w:fill="FFF3E0" w:val="clear"/>
          </w:tcPr>
          <w:p>
            <w:pPr>
              <w:pStyle w:val="Normal"/>
              <w:rPr/>
            </w:pPr>
            <w:r>
              <w:rPr>
                <w:rFonts w:eastAsia="Arial" w:cs="Arial"/>
                <w:b w:val="false"/>
                <w:bCs w:val="false"/>
                <w:sz w:val="18"/>
                <w:szCs w:val="18"/>
              </w:rPr>
              <w:t>Bronze</w:t>
            </w:r>
          </w:p>
        </w:tc>
        <w:tc>
          <w:tcPr>
            <w:tcW w:w="2501"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Raw unified JSON records</w:t>
            </w:r>
          </w:p>
        </w:tc>
        <w:tc>
          <w:tcPr>
            <w:tcW w:w="2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JSON (partitioned by source)</w:t>
            </w:r>
          </w:p>
        </w:tc>
        <w:tc>
          <w:tcPr>
            <w:tcW w:w="27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Weekly ETL refresh</w:t>
            </w:r>
          </w:p>
        </w:tc>
      </w:tr>
      <w:tr>
        <w:trPr/>
        <w:tc>
          <w:tcPr>
            <w:tcW w:w="1799" w:type="dxa"/>
            <w:tcBorders>
              <w:top w:val="single" w:sz="2" w:space="0" w:color="CCCCCC"/>
              <w:left w:val="single" w:sz="2" w:space="0" w:color="CCCCCC"/>
              <w:bottom w:val="single" w:sz="2" w:space="0" w:color="CCCCCC"/>
              <w:right w:val="single" w:sz="2" w:space="0" w:color="CCCCCC"/>
            </w:tcBorders>
            <w:shd w:fill="E8EAF6" w:val="clear"/>
          </w:tcPr>
          <w:p>
            <w:pPr>
              <w:pStyle w:val="Normal"/>
              <w:rPr/>
            </w:pPr>
            <w:r>
              <w:rPr>
                <w:rFonts w:eastAsia="Arial" w:cs="Arial"/>
                <w:b w:val="false"/>
                <w:bCs w:val="false"/>
                <w:sz w:val="18"/>
                <w:szCs w:val="18"/>
              </w:rPr>
              <w:t>Silver</w:t>
            </w:r>
          </w:p>
        </w:tc>
        <w:tc>
          <w:tcPr>
            <w:tcW w:w="2501"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Semantic docs + embeddings + metadata</w:t>
            </w:r>
          </w:p>
        </w:tc>
        <w:tc>
          <w:tcPr>
            <w:tcW w:w="2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Text + NumPy arrays + JSON</w:t>
            </w:r>
          </w:p>
        </w:tc>
        <w:tc>
          <w:tcPr>
            <w:tcW w:w="27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Weekly after Bronze refresh</w:t>
            </w:r>
          </w:p>
        </w:tc>
      </w:tr>
      <w:tr>
        <w:trPr/>
        <w:tc>
          <w:tcPr>
            <w:tcW w:w="1799" w:type="dxa"/>
            <w:tcBorders>
              <w:top w:val="single" w:sz="2" w:space="0" w:color="CCCCCC"/>
              <w:left w:val="single" w:sz="2" w:space="0" w:color="CCCCCC"/>
              <w:bottom w:val="single" w:sz="2" w:space="0" w:color="CCCCCC"/>
              <w:right w:val="single" w:sz="2" w:space="0" w:color="CCCCCC"/>
            </w:tcBorders>
            <w:shd w:fill="FFF9C4" w:val="clear"/>
          </w:tcPr>
          <w:p>
            <w:pPr>
              <w:pStyle w:val="Normal"/>
              <w:rPr/>
            </w:pPr>
            <w:r>
              <w:rPr>
                <w:rFonts w:eastAsia="Arial" w:cs="Arial"/>
                <w:b w:val="false"/>
                <w:bCs w:val="false"/>
                <w:sz w:val="18"/>
                <w:szCs w:val="18"/>
              </w:rPr>
              <w:t>Gold</w:t>
            </w:r>
          </w:p>
        </w:tc>
        <w:tc>
          <w:tcPr>
            <w:tcW w:w="2501"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Audit logs, conversation history, analytics</w:t>
            </w:r>
          </w:p>
        </w:tc>
        <w:tc>
          <w:tcPr>
            <w:tcW w:w="2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JSON (append-only)</w:t>
            </w:r>
          </w:p>
        </w:tc>
        <w:tc>
          <w:tcPr>
            <w:tcW w:w="27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Real-time (every interaction)</w:t>
            </w:r>
          </w:p>
        </w:tc>
      </w:tr>
    </w:tbl>
    <w:p>
      <w:pPr>
        <w:pStyle w:val="Normal"/>
        <w:rPr/>
      </w:pPr>
      <w:r>
        <w:rPr/>
      </w:r>
      <w:r>
        <w:br w:type="page"/>
      </w:r>
    </w:p>
    <w:p>
      <w:pPr>
        <w:pStyle w:val="Heading1"/>
        <w:spacing w:before="0" w:after="120"/>
        <w:rPr/>
      </w:pPr>
      <w:r>
        <w:rPr>
          <w:rFonts w:eastAsia="Arial" w:cs="Arial" w:ascii="Arial" w:hAnsi="Arial"/>
        </w:rPr>
        <w:t>5. Technology Stack Summary</w:t>
      </w:r>
    </w:p>
    <w:tbl>
      <w:tblPr>
        <w:tblW w:w="9840" w:type="dxa"/>
        <w:jc w:val="left"/>
        <w:tblInd w:w="0" w:type="dxa"/>
        <w:tblLayout w:type="fixed"/>
        <w:tblCellMar>
          <w:top w:w="60" w:type="dxa"/>
          <w:left w:w="100" w:type="dxa"/>
          <w:bottom w:w="60" w:type="dxa"/>
          <w:right w:w="100" w:type="dxa"/>
        </w:tblCellMar>
      </w:tblPr>
      <w:tblGrid>
        <w:gridCol w:w="2200"/>
        <w:gridCol w:w="2200"/>
        <w:gridCol w:w="5440"/>
      </w:tblGrid>
      <w:tr>
        <w:trPr/>
        <w:tc>
          <w:tcPr>
            <w:tcW w:w="2200" w:type="dxa"/>
            <w:tcBorders>
              <w:top w:val="single" w:sz="2" w:space="0" w:color="CCCCCC"/>
              <w:left w:val="single" w:sz="2" w:space="0" w:color="CCCCCC"/>
              <w:bottom w:val="single" w:sz="2" w:space="0" w:color="CCCCCC"/>
              <w:right w:val="single" w:sz="2" w:space="0" w:color="CCCCCC"/>
            </w:tcBorders>
            <w:shd w:fill="1A237E" w:val="clear"/>
          </w:tcPr>
          <w:p>
            <w:pPr>
              <w:pStyle w:val="Normal"/>
              <w:rPr/>
            </w:pPr>
            <w:r>
              <w:rPr>
                <w:rFonts w:eastAsia="Arial" w:cs="Arial"/>
                <w:b/>
                <w:bCs/>
                <w:color w:val="FFFFFF"/>
                <w:sz w:val="18"/>
                <w:szCs w:val="18"/>
              </w:rPr>
              <w:t>Component</w:t>
            </w:r>
          </w:p>
        </w:tc>
        <w:tc>
          <w:tcPr>
            <w:tcW w:w="2200" w:type="dxa"/>
            <w:tcBorders>
              <w:top w:val="single" w:sz="2" w:space="0" w:color="CCCCCC"/>
              <w:left w:val="single" w:sz="2" w:space="0" w:color="CCCCCC"/>
              <w:bottom w:val="single" w:sz="2" w:space="0" w:color="CCCCCC"/>
              <w:right w:val="single" w:sz="2" w:space="0" w:color="CCCCCC"/>
            </w:tcBorders>
            <w:shd w:fill="1A237E" w:val="clear"/>
          </w:tcPr>
          <w:p>
            <w:pPr>
              <w:pStyle w:val="Normal"/>
              <w:rPr/>
            </w:pPr>
            <w:r>
              <w:rPr>
                <w:rFonts w:eastAsia="Arial" w:cs="Arial"/>
                <w:b/>
                <w:bCs/>
                <w:color w:val="FFFFFF"/>
                <w:sz w:val="18"/>
                <w:szCs w:val="18"/>
              </w:rPr>
              <w:t>Technology</w:t>
            </w:r>
          </w:p>
        </w:tc>
        <w:tc>
          <w:tcPr>
            <w:tcW w:w="5440" w:type="dxa"/>
            <w:tcBorders>
              <w:top w:val="single" w:sz="2" w:space="0" w:color="CCCCCC"/>
              <w:left w:val="single" w:sz="2" w:space="0" w:color="CCCCCC"/>
              <w:bottom w:val="single" w:sz="2" w:space="0" w:color="CCCCCC"/>
              <w:right w:val="single" w:sz="2" w:space="0" w:color="CCCCCC"/>
            </w:tcBorders>
            <w:shd w:fill="1A237E" w:val="clear"/>
          </w:tcPr>
          <w:p>
            <w:pPr>
              <w:pStyle w:val="Normal"/>
              <w:rPr/>
            </w:pPr>
            <w:r>
              <w:rPr>
                <w:rFonts w:eastAsia="Arial" w:cs="Arial"/>
                <w:b/>
                <w:bCs/>
                <w:color w:val="FFFFFF"/>
                <w:sz w:val="18"/>
                <w:szCs w:val="18"/>
              </w:rPr>
              <w:t>Purpose</w:t>
            </w:r>
          </w:p>
        </w:tc>
      </w:tr>
      <w:tr>
        <w:trPr/>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Chat UI</w:t>
            </w:r>
          </w:p>
        </w:tc>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Chainlit 2.9+</w:t>
            </w:r>
          </w:p>
        </w:tc>
        <w:tc>
          <w:tcPr>
            <w:tcW w:w="54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Production chat interface with agent step visualization, streaming, file upload, SSO</w:t>
            </w:r>
          </w:p>
        </w:tc>
      </w:tr>
      <w:tr>
        <w:trPr/>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Agent Orchestration</w:t>
            </w:r>
          </w:p>
        </w:tc>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LangFlow</w:t>
            </w:r>
          </w:p>
        </w:tc>
        <w:tc>
          <w:tcPr>
            <w:tcW w:w="54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Visual multi-agent builder with REST API. Hosts all 7 agents as flows</w:t>
            </w:r>
          </w:p>
        </w:tc>
      </w:tr>
      <w:tr>
        <w:trPr/>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Embedding Model</w:t>
            </w:r>
          </w:p>
        </w:tc>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all-MiniLM-L6-v2</w:t>
            </w:r>
          </w:p>
        </w:tc>
        <w:tc>
          <w:tcPr>
            <w:tcW w:w="54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384-dim sentence embeddings for semantic similarity (Silver + Gold layers)</w:t>
            </w:r>
          </w:p>
        </w:tc>
      </w:tr>
      <w:tr>
        <w:trPr/>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Vector Store</w:t>
            </w:r>
          </w:p>
        </w:tc>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AstraDB / Chroma</w:t>
            </w:r>
          </w:p>
        </w:tc>
        <w:tc>
          <w:tcPr>
            <w:tcW w:w="54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LangFlow-native vector DB with HNSW index, &lt;3ms Top-K retrieval</w:t>
            </w:r>
          </w:p>
        </w:tc>
      </w:tr>
      <w:tr>
        <w:trPr/>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LLM</w:t>
            </w:r>
          </w:p>
        </w:tc>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Claude / GPT-4</w:t>
            </w:r>
          </w:p>
        </w:tc>
        <w:tc>
          <w:tcPr>
            <w:tcW w:w="54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Classification, question generation, response synthesis</w:t>
            </w:r>
          </w:p>
        </w:tc>
      </w:tr>
      <w:tr>
        <w:trPr/>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Session Cache</w:t>
            </w:r>
          </w:p>
        </w:tc>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Redis 7.x</w:t>
            </w:r>
          </w:p>
        </w:tc>
        <w:tc>
          <w:tcPr>
            <w:tcW w:w="54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Conversation state, agent context, collected fields</w:t>
            </w:r>
          </w:p>
        </w:tc>
      </w:tr>
      <w:tr>
        <w:trPr/>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Data Storage</w:t>
            </w:r>
          </w:p>
        </w:tc>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Content Sphere</w:t>
            </w:r>
          </w:p>
        </w:tc>
        <w:tc>
          <w:tcPr>
            <w:tcW w:w="54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Bronze/Silver/Gold buckets for all persistent data</w:t>
            </w:r>
          </w:p>
        </w:tc>
      </w:tr>
      <w:tr>
        <w:trPr/>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ETL</w:t>
            </w:r>
          </w:p>
        </w:tc>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Python + openpyxl</w:t>
            </w:r>
          </w:p>
        </w:tc>
        <w:tc>
          <w:tcPr>
            <w:tcW w:w="54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Excel parsing, PDF OCR (Tesseract), API connectors, field mapping</w:t>
            </w:r>
          </w:p>
        </w:tc>
      </w:tr>
      <w:tr>
        <w:trPr/>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API Gateway</w:t>
            </w:r>
          </w:p>
        </w:tc>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FastAPI 0.115+</w:t>
            </w:r>
          </w:p>
        </w:tc>
        <w:tc>
          <w:tcPr>
            <w:tcW w:w="54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REST API layer for external integrations (IRIS, Jira)</w:t>
            </w:r>
          </w:p>
        </w:tc>
      </w:tr>
      <w:tr>
        <w:trPr/>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Enterprise</w:t>
            </w:r>
          </w:p>
        </w:tc>
        <w:tc>
          <w:tcPr>
            <w:tcW w:w="22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IRIS + Jira + AD</w:t>
            </w:r>
          </w:p>
        </w:tc>
        <w:tc>
          <w:tcPr>
            <w:tcW w:w="54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ServiceNow RITM creation, Jira ABFZ project, Active Directory SSO</w:t>
            </w:r>
          </w:p>
        </w:tc>
      </w:tr>
    </w:tbl>
    <w:p>
      <w:pPr>
        <w:pStyle w:val="Normal"/>
        <w:rPr/>
      </w:pPr>
      <w:r>
        <w:rPr/>
      </w:r>
      <w:r>
        <w:br w:type="page"/>
      </w:r>
    </w:p>
    <w:p>
      <w:pPr>
        <w:pStyle w:val="Heading1"/>
        <w:spacing w:before="0" w:after="120"/>
        <w:rPr/>
      </w:pPr>
      <w:r>
        <w:rPr>
          <w:rFonts w:eastAsia="Arial" w:cs="Arial" w:ascii="Arial" w:hAnsi="Arial"/>
        </w:rPr>
        <w:t>6. Architecture Diagram Reference</w:t>
      </w:r>
    </w:p>
    <w:p>
      <w:pPr>
        <w:pStyle w:val="Normal"/>
        <w:spacing w:before="0" w:after="120"/>
        <w:rPr/>
      </w:pPr>
      <w:r>
        <w:rPr>
          <w:rFonts w:eastAsia="Arial" w:cs="Arial"/>
          <w:sz w:val="22"/>
          <w:szCs w:val="22"/>
        </w:rPr>
        <w:t>The accompanying Draw.io file (MLL_Intake_System_Architecture.drawio) provides a visual representation of the complete system. The diagram shows three columns: Bronze (left, orange), Silver (center, blue), and Gold (right, yellow). Each column maps to the layers described in Section 2. Key flows to trace in the diagram:</w:t>
      </w:r>
    </w:p>
    <w:p>
      <w:pPr>
        <w:pStyle w:val="Normal"/>
        <w:spacing w:before="0" w:after="120"/>
        <w:rPr/>
      </w:pPr>
      <w:r>
        <w:rPr>
          <w:rFonts w:eastAsia="Arial" w:cs="Arial"/>
          <w:sz w:val="22"/>
          <w:szCs w:val="22"/>
        </w:rPr>
        <w:t>Flow 1 (Offline): Enterprise Data Sources at the top of Bronze flow down through ETL Pipeline steps, through the Unified Field Mapper, into Unified JSON Records, and into Content Sphere Bronze bucket. From there, the arrow crosses into Silver where data passes through Text Cleaning, Semantic Template Engine (8 chunks), Embedding Generation, and into both the LangFlow Vector Store and Content Sphere Silver bucket.</w:t>
      </w:r>
    </w:p>
    <w:p>
      <w:pPr>
        <w:pStyle w:val="Normal"/>
        <w:spacing w:before="0" w:after="120"/>
        <w:rPr/>
      </w:pPr>
      <w:r>
        <w:rPr>
          <w:rFonts w:eastAsia="Arial" w:cs="Arial"/>
          <w:sz w:val="22"/>
          <w:szCs w:val="22"/>
        </w:rPr>
        <w:t>Flow 2 (Online): User message enters at the top of the Gold column through Chainlit Chat UI. It flows down through the Supervisor, to the Intent Classifier (which queries the Vector Store via the RAG Pipeline on the right side), then to the Clarity Agent, and finally to one of the specialized agents (Intake, Network, Incident, Access, or Status) at the bottom. Enterprise integrations (IRIS, Jira, AD, Redis, Content Sphere Gold) are shown at the bottom of the Gold layer.</w:t>
      </w:r>
    </w:p>
    <w:p>
      <w:pPr>
        <w:pStyle w:val="Normal"/>
        <w:rPr/>
      </w:pPr>
      <w:r>
        <w:rPr/>
      </w:r>
      <w:r>
        <w:br w:type="page"/>
      </w:r>
    </w:p>
    <w:p>
      <w:pPr>
        <w:pStyle w:val="Heading1"/>
        <w:spacing w:before="0" w:after="120"/>
        <w:rPr/>
      </w:pPr>
      <w:r>
        <w:rPr>
          <w:rFonts w:eastAsia="Arial" w:cs="Arial" w:ascii="Arial" w:hAnsi="Arial"/>
        </w:rPr>
        <w:t>7. Jira User Stories</w:t>
      </w:r>
    </w:p>
    <w:p>
      <w:pPr>
        <w:pStyle w:val="Normal"/>
        <w:spacing w:before="0" w:after="120"/>
        <w:rPr/>
      </w:pPr>
      <w:r>
        <w:rPr>
          <w:rFonts w:eastAsia="Arial" w:cs="Arial"/>
          <w:sz w:val="22"/>
          <w:szCs w:val="22"/>
        </w:rPr>
        <w:t>The following user stories cover the complete implementation across all three layers. Stories are organized by layer and sprint. Total estimated effort: 113 story points across 10 sprints.</w:t>
      </w:r>
    </w:p>
    <w:p>
      <w:pPr>
        <w:pStyle w:val="Heading2"/>
        <w:spacing w:before="280" w:after="120"/>
        <w:rPr/>
      </w:pPr>
      <w:r>
        <w:rPr>
          <w:rFonts w:eastAsia="Arial" w:cs="Arial" w:ascii="Arial" w:hAnsi="Arial"/>
        </w:rPr>
        <w:t>7.1 Bronze Layer Stories (Sprints 1-2)</w:t>
      </w:r>
    </w:p>
    <w:tbl>
      <w:tblPr>
        <w:tblW w:w="9840" w:type="dxa"/>
        <w:jc w:val="left"/>
        <w:tblInd w:w="0" w:type="dxa"/>
        <w:tblLayout w:type="fixed"/>
        <w:tblCellMar>
          <w:top w:w="60" w:type="dxa"/>
          <w:left w:w="100" w:type="dxa"/>
          <w:bottom w:w="60" w:type="dxa"/>
          <w:right w:w="100" w:type="dxa"/>
        </w:tblCellMar>
      </w:tblPr>
      <w:tblGrid>
        <w:gridCol w:w="1799"/>
        <w:gridCol w:w="8040"/>
      </w:tblGrid>
      <w:tr>
        <w:trPr/>
        <w:tc>
          <w:tcPr>
            <w:tcW w:w="1799" w:type="dxa"/>
            <w:tcBorders>
              <w:top w:val="single" w:sz="2" w:space="0" w:color="CCCCCC"/>
              <w:left w:val="single" w:sz="2" w:space="0" w:color="CCCCCC"/>
              <w:bottom w:val="single" w:sz="2" w:space="0" w:color="CCCCCC"/>
              <w:right w:val="single" w:sz="2" w:space="0" w:color="CCCCCC"/>
            </w:tcBorders>
            <w:shd w:fill="FFF3E0" w:val="clear"/>
          </w:tcPr>
          <w:p>
            <w:pPr>
              <w:pStyle w:val="Normal"/>
              <w:rPr/>
            </w:pPr>
            <w:r>
              <w:rPr>
                <w:rFonts w:eastAsia="Arial" w:cs="Arial"/>
                <w:b/>
                <w:bCs/>
                <w:color w:val="E65100"/>
                <w:sz w:val="18"/>
                <w:szCs w:val="18"/>
              </w:rPr>
              <w:t>MLL-B01</w:t>
            </w:r>
          </w:p>
        </w:tc>
        <w:tc>
          <w:tcPr>
            <w:tcW w:w="8040" w:type="dxa"/>
            <w:tcBorders>
              <w:top w:val="single" w:sz="2" w:space="0" w:color="CCCCCC"/>
              <w:left w:val="single" w:sz="2" w:space="0" w:color="CCCCCC"/>
              <w:bottom w:val="single" w:sz="2" w:space="0" w:color="CCCCCC"/>
              <w:right w:val="single" w:sz="2" w:space="0" w:color="CCCCCC"/>
            </w:tcBorders>
            <w:shd w:fill="FFF3E0" w:val="clear"/>
          </w:tcPr>
          <w:p>
            <w:pPr>
              <w:pStyle w:val="Normal"/>
              <w:rPr/>
            </w:pPr>
            <w:r>
              <w:rPr>
                <w:rFonts w:eastAsia="Arial" w:cs="Arial"/>
                <w:b/>
                <w:bCs/>
                <w:sz w:val="20"/>
                <w:szCs w:val="20"/>
              </w:rPr>
              <w:t>Build Excel Ingestion Pipeline for IRIS Data</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Description</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 a developer, I need to build a Python script using openpyxl that reads the IRIS Solution Intake XLSX file (3,091 records, 124 columns) and outputs normalized JSON records. The script must handle missing values, parse date fields to ISO format, and extract requestor names from 'Name (ID)' format.</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Acceptance Criteria</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 Script reads IRIS_Solution_Intake_requests.xlsx successfully. 2) Outputs 3,091 JSON records. 3) All 124 fields mapped per unified schema. 4) Date fields normalized to ISO 8601. 5) Names extracted from parenthetical ID format. 6) Output stored to Content Sphere Bronze bucket.</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Story Points</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5 points | Sprint 1</w:t>
            </w:r>
          </w:p>
        </w:tc>
      </w:tr>
    </w:tbl>
    <w:p>
      <w:pPr>
        <w:pStyle w:val="Normal"/>
        <w:spacing w:before="0" w:after="120"/>
        <w:rPr/>
      </w:pPr>
      <w:r>
        <w:rPr/>
      </w:r>
    </w:p>
    <w:tbl>
      <w:tblPr>
        <w:tblW w:w="9840" w:type="dxa"/>
        <w:jc w:val="left"/>
        <w:tblInd w:w="0" w:type="dxa"/>
        <w:tblLayout w:type="fixed"/>
        <w:tblCellMar>
          <w:top w:w="60" w:type="dxa"/>
          <w:left w:w="100" w:type="dxa"/>
          <w:bottom w:w="60" w:type="dxa"/>
          <w:right w:w="100" w:type="dxa"/>
        </w:tblCellMar>
      </w:tblPr>
      <w:tblGrid>
        <w:gridCol w:w="1799"/>
        <w:gridCol w:w="8040"/>
      </w:tblGrid>
      <w:tr>
        <w:trPr/>
        <w:tc>
          <w:tcPr>
            <w:tcW w:w="1799" w:type="dxa"/>
            <w:tcBorders>
              <w:top w:val="single" w:sz="2" w:space="0" w:color="CCCCCC"/>
              <w:left w:val="single" w:sz="2" w:space="0" w:color="CCCCCC"/>
              <w:bottom w:val="single" w:sz="2" w:space="0" w:color="CCCCCC"/>
              <w:right w:val="single" w:sz="2" w:space="0" w:color="CCCCCC"/>
            </w:tcBorders>
            <w:shd w:fill="FFF3E0" w:val="clear"/>
          </w:tcPr>
          <w:p>
            <w:pPr>
              <w:pStyle w:val="Normal"/>
              <w:rPr/>
            </w:pPr>
            <w:r>
              <w:rPr>
                <w:rFonts w:eastAsia="Arial" w:cs="Arial"/>
                <w:b/>
                <w:bCs/>
                <w:color w:val="E65100"/>
                <w:sz w:val="18"/>
                <w:szCs w:val="18"/>
              </w:rPr>
              <w:t>MLL-B02</w:t>
            </w:r>
          </w:p>
        </w:tc>
        <w:tc>
          <w:tcPr>
            <w:tcW w:w="8040" w:type="dxa"/>
            <w:tcBorders>
              <w:top w:val="single" w:sz="2" w:space="0" w:color="CCCCCC"/>
              <w:left w:val="single" w:sz="2" w:space="0" w:color="CCCCCC"/>
              <w:bottom w:val="single" w:sz="2" w:space="0" w:color="CCCCCC"/>
              <w:right w:val="single" w:sz="2" w:space="0" w:color="CCCCCC"/>
            </w:tcBorders>
            <w:shd w:fill="FFF3E0" w:val="clear"/>
          </w:tcPr>
          <w:p>
            <w:pPr>
              <w:pStyle w:val="Normal"/>
              <w:rPr/>
            </w:pPr>
            <w:r>
              <w:rPr>
                <w:rFonts w:eastAsia="Arial" w:cs="Arial"/>
                <w:b/>
                <w:bCs/>
                <w:sz w:val="20"/>
                <w:szCs w:val="20"/>
              </w:rPr>
              <w:t>Build Excel Ingestion Pipeline for Jira Epics</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Description</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 a developer, I need to build a Python script that reads MLL_JIRA_Epics_extract.xlsx (7,210 records, 476 columns), parses the Epic Summary field using regex pattern {SITE}, {CC} - {Type} - {RITM}, and outputs normalized JSON with extracted site_name, site_country_code, request_type_parsed fields.</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Acceptance Criteria</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 Script reads Epics XLSX. 2) Regex extracts site/type/RITM from Summary. 3) 7,210 JSON records output. 4) Parsed fields: site_name, site_country_code, site_id, request_type_parsed. 5) Stored to Content Sphere Bronze bucket.</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Story Points</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5 points | Sprint 1</w:t>
            </w:r>
          </w:p>
        </w:tc>
      </w:tr>
    </w:tbl>
    <w:p>
      <w:pPr>
        <w:pStyle w:val="Normal"/>
        <w:spacing w:before="0" w:after="120"/>
        <w:rPr/>
      </w:pPr>
      <w:r>
        <w:rPr/>
      </w:r>
    </w:p>
    <w:tbl>
      <w:tblPr>
        <w:tblW w:w="9840" w:type="dxa"/>
        <w:jc w:val="left"/>
        <w:tblInd w:w="0" w:type="dxa"/>
        <w:tblLayout w:type="fixed"/>
        <w:tblCellMar>
          <w:top w:w="60" w:type="dxa"/>
          <w:left w:w="100" w:type="dxa"/>
          <w:bottom w:w="60" w:type="dxa"/>
          <w:right w:w="100" w:type="dxa"/>
        </w:tblCellMar>
      </w:tblPr>
      <w:tblGrid>
        <w:gridCol w:w="1799"/>
        <w:gridCol w:w="8040"/>
      </w:tblGrid>
      <w:tr>
        <w:trPr/>
        <w:tc>
          <w:tcPr>
            <w:tcW w:w="1799" w:type="dxa"/>
            <w:tcBorders>
              <w:top w:val="single" w:sz="2" w:space="0" w:color="CCCCCC"/>
              <w:left w:val="single" w:sz="2" w:space="0" w:color="CCCCCC"/>
              <w:bottom w:val="single" w:sz="2" w:space="0" w:color="CCCCCC"/>
              <w:right w:val="single" w:sz="2" w:space="0" w:color="CCCCCC"/>
            </w:tcBorders>
            <w:shd w:fill="FFF3E0" w:val="clear"/>
          </w:tcPr>
          <w:p>
            <w:pPr>
              <w:pStyle w:val="Normal"/>
              <w:rPr/>
            </w:pPr>
            <w:r>
              <w:rPr>
                <w:rFonts w:eastAsia="Arial" w:cs="Arial"/>
                <w:b/>
                <w:bCs/>
                <w:color w:val="E65100"/>
                <w:sz w:val="18"/>
                <w:szCs w:val="18"/>
              </w:rPr>
              <w:t>MLL-B03</w:t>
            </w:r>
          </w:p>
        </w:tc>
        <w:tc>
          <w:tcPr>
            <w:tcW w:w="8040" w:type="dxa"/>
            <w:tcBorders>
              <w:top w:val="single" w:sz="2" w:space="0" w:color="CCCCCC"/>
              <w:left w:val="single" w:sz="2" w:space="0" w:color="CCCCCC"/>
              <w:bottom w:val="single" w:sz="2" w:space="0" w:color="CCCCCC"/>
              <w:right w:val="single" w:sz="2" w:space="0" w:color="CCCCCC"/>
            </w:tcBorders>
            <w:shd w:fill="FFF3E0" w:val="clear"/>
          </w:tcPr>
          <w:p>
            <w:pPr>
              <w:pStyle w:val="Normal"/>
              <w:rPr/>
            </w:pPr>
            <w:r>
              <w:rPr>
                <w:rFonts w:eastAsia="Arial" w:cs="Arial"/>
                <w:b/>
                <w:bCs/>
                <w:sz w:val="20"/>
                <w:szCs w:val="20"/>
              </w:rPr>
              <w:t>Build Excel Ingestion Pipeline for Jira User Stories</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Description</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 a developer, I need to build a Python script that reads MLL_JIRA_Userstory_extracts.xlsx (6,551 records, 407 columns) and links each story to its parent Epic via the Parent ID field. Output includes story_key, summary, status, assignee, story_points, sprint, and description.</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Acceptance Criteria</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 6,551 stories read. 2) Parent Epic linkage established via parent_id. 3) All key fields extracted. 4) Stored to Content Sphere Bronze bucket.</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Story Points</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3 points | Sprint 1</w:t>
            </w:r>
          </w:p>
        </w:tc>
      </w:tr>
    </w:tbl>
    <w:p>
      <w:pPr>
        <w:pStyle w:val="Normal"/>
        <w:spacing w:before="0" w:after="120"/>
        <w:rPr/>
      </w:pPr>
      <w:r>
        <w:rPr/>
      </w:r>
    </w:p>
    <w:tbl>
      <w:tblPr>
        <w:tblW w:w="9840" w:type="dxa"/>
        <w:jc w:val="left"/>
        <w:tblInd w:w="0" w:type="dxa"/>
        <w:tblLayout w:type="fixed"/>
        <w:tblCellMar>
          <w:top w:w="60" w:type="dxa"/>
          <w:left w:w="100" w:type="dxa"/>
          <w:bottom w:w="60" w:type="dxa"/>
          <w:right w:w="100" w:type="dxa"/>
        </w:tblCellMar>
      </w:tblPr>
      <w:tblGrid>
        <w:gridCol w:w="1799"/>
        <w:gridCol w:w="8040"/>
      </w:tblGrid>
      <w:tr>
        <w:trPr/>
        <w:tc>
          <w:tcPr>
            <w:tcW w:w="1799" w:type="dxa"/>
            <w:tcBorders>
              <w:top w:val="single" w:sz="2" w:space="0" w:color="CCCCCC"/>
              <w:left w:val="single" w:sz="2" w:space="0" w:color="CCCCCC"/>
              <w:bottom w:val="single" w:sz="2" w:space="0" w:color="CCCCCC"/>
              <w:right w:val="single" w:sz="2" w:space="0" w:color="CCCCCC"/>
            </w:tcBorders>
            <w:shd w:fill="FFF3E0" w:val="clear"/>
          </w:tcPr>
          <w:p>
            <w:pPr>
              <w:pStyle w:val="Normal"/>
              <w:rPr/>
            </w:pPr>
            <w:r>
              <w:rPr>
                <w:rFonts w:eastAsia="Arial" w:cs="Arial"/>
                <w:b/>
                <w:bCs/>
                <w:color w:val="E65100"/>
                <w:sz w:val="18"/>
                <w:szCs w:val="18"/>
              </w:rPr>
              <w:t>MLL-B04</w:t>
            </w:r>
          </w:p>
        </w:tc>
        <w:tc>
          <w:tcPr>
            <w:tcW w:w="8040" w:type="dxa"/>
            <w:tcBorders>
              <w:top w:val="single" w:sz="2" w:space="0" w:color="CCCCCC"/>
              <w:left w:val="single" w:sz="2" w:space="0" w:color="CCCCCC"/>
              <w:bottom w:val="single" w:sz="2" w:space="0" w:color="CCCCCC"/>
              <w:right w:val="single" w:sz="2" w:space="0" w:color="CCCCCC"/>
            </w:tcBorders>
            <w:shd w:fill="FFF3E0" w:val="clear"/>
          </w:tcPr>
          <w:p>
            <w:pPr>
              <w:pStyle w:val="Normal"/>
              <w:rPr/>
            </w:pPr>
            <w:r>
              <w:rPr>
                <w:rFonts w:eastAsia="Arial" w:cs="Arial"/>
                <w:b/>
                <w:bCs/>
                <w:sz w:val="20"/>
                <w:szCs w:val="20"/>
              </w:rPr>
              <w:t>Build PDF Invoice OCR Pipeline</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Description</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 a developer, I need to build an OCR pipeline using Tesseract + PyMuPDF + pdfplumber that extracts line items, quantities, unit costs, vendor names, PO numbers, and totals from ~2,200 PDF vendor invoices.</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Acceptance Criteria</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 Pipeline processes PDF files. 2) Extracts: vendor name, invoice number, line items (description, qty, unit cost, total). 3) Output as structured JSON. 4) Handles multi-page invoices. 5) Stored to Content Sphere Bronze bucket.</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Story Points</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8 points | Sprint 1-2</w:t>
            </w:r>
          </w:p>
        </w:tc>
      </w:tr>
    </w:tbl>
    <w:p>
      <w:pPr>
        <w:pStyle w:val="Normal"/>
        <w:spacing w:before="0" w:after="120"/>
        <w:rPr/>
      </w:pPr>
      <w:r>
        <w:rPr/>
      </w:r>
    </w:p>
    <w:tbl>
      <w:tblPr>
        <w:tblW w:w="9840" w:type="dxa"/>
        <w:jc w:val="left"/>
        <w:tblInd w:w="0" w:type="dxa"/>
        <w:tblLayout w:type="fixed"/>
        <w:tblCellMar>
          <w:top w:w="60" w:type="dxa"/>
          <w:left w:w="100" w:type="dxa"/>
          <w:bottom w:w="60" w:type="dxa"/>
          <w:right w:w="100" w:type="dxa"/>
        </w:tblCellMar>
      </w:tblPr>
      <w:tblGrid>
        <w:gridCol w:w="1799"/>
        <w:gridCol w:w="8040"/>
      </w:tblGrid>
      <w:tr>
        <w:trPr/>
        <w:tc>
          <w:tcPr>
            <w:tcW w:w="1799" w:type="dxa"/>
            <w:tcBorders>
              <w:top w:val="single" w:sz="2" w:space="0" w:color="CCCCCC"/>
              <w:left w:val="single" w:sz="2" w:space="0" w:color="CCCCCC"/>
              <w:bottom w:val="single" w:sz="2" w:space="0" w:color="CCCCCC"/>
              <w:right w:val="single" w:sz="2" w:space="0" w:color="CCCCCC"/>
            </w:tcBorders>
            <w:shd w:fill="FFF3E0" w:val="clear"/>
          </w:tcPr>
          <w:p>
            <w:pPr>
              <w:pStyle w:val="Normal"/>
              <w:rPr/>
            </w:pPr>
            <w:r>
              <w:rPr>
                <w:rFonts w:eastAsia="Arial" w:cs="Arial"/>
                <w:b/>
                <w:bCs/>
                <w:color w:val="E65100"/>
                <w:sz w:val="18"/>
                <w:szCs w:val="18"/>
              </w:rPr>
              <w:t>MLL-B05</w:t>
            </w:r>
          </w:p>
        </w:tc>
        <w:tc>
          <w:tcPr>
            <w:tcW w:w="8040" w:type="dxa"/>
            <w:tcBorders>
              <w:top w:val="single" w:sz="2" w:space="0" w:color="CCCCCC"/>
              <w:left w:val="single" w:sz="2" w:space="0" w:color="CCCCCC"/>
              <w:bottom w:val="single" w:sz="2" w:space="0" w:color="CCCCCC"/>
              <w:right w:val="single" w:sz="2" w:space="0" w:color="CCCCCC"/>
            </w:tcBorders>
            <w:shd w:fill="FFF3E0" w:val="clear"/>
          </w:tcPr>
          <w:p>
            <w:pPr>
              <w:pStyle w:val="Normal"/>
              <w:rPr/>
            </w:pPr>
            <w:r>
              <w:rPr>
                <w:rFonts w:eastAsia="Arial" w:cs="Arial"/>
                <w:b/>
                <w:bCs/>
                <w:sz w:val="20"/>
                <w:szCs w:val="20"/>
              </w:rPr>
              <w:t>Build Unified Field Mapper</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Description</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 a developer, I need to create a field mapping module that merges IRIS records + Jira Epics + Jira User Stories + PDF invoice data into a single unified JSON record per request. The mapper reduces 1,007 source fields to 594 unified schema fields following MLL_Unified_Ticket_Schema.json (12 sections).</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Acceptance Criteria</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 Merges 4 data sources into single record. 2) Schema has 12 sections. 3) RITM links to Epic via work_notes Jira URL. 4) Stories linked to Epic via parent_id. 5) PDF costs linked to Epic via RITM. 6) ~16,852 unified records produced. 7) Stored to Content Sphere Bronze bucket.</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Story Points</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8 points | Sprint 2</w:t>
            </w:r>
          </w:p>
        </w:tc>
      </w:tr>
    </w:tbl>
    <w:p>
      <w:pPr>
        <w:pStyle w:val="Normal"/>
        <w:spacing w:before="0" w:after="120"/>
        <w:rPr/>
      </w:pPr>
      <w:r>
        <w:rPr/>
      </w:r>
    </w:p>
    <w:p>
      <w:pPr>
        <w:pStyle w:val="Heading2"/>
        <w:spacing w:before="280" w:after="120"/>
        <w:rPr/>
      </w:pPr>
      <w:r>
        <w:rPr>
          <w:rFonts w:eastAsia="Arial" w:cs="Arial" w:ascii="Arial" w:hAnsi="Arial"/>
        </w:rPr>
        <w:t>7.2 Silver Layer Stories (Sprints 3-4)</w:t>
      </w:r>
    </w:p>
    <w:tbl>
      <w:tblPr>
        <w:tblW w:w="9840" w:type="dxa"/>
        <w:jc w:val="left"/>
        <w:tblInd w:w="0" w:type="dxa"/>
        <w:tblLayout w:type="fixed"/>
        <w:tblCellMar>
          <w:top w:w="60" w:type="dxa"/>
          <w:left w:w="100" w:type="dxa"/>
          <w:bottom w:w="60" w:type="dxa"/>
          <w:right w:w="100" w:type="dxa"/>
        </w:tblCellMar>
      </w:tblPr>
      <w:tblGrid>
        <w:gridCol w:w="1799"/>
        <w:gridCol w:w="8040"/>
      </w:tblGrid>
      <w:tr>
        <w:trPr/>
        <w:tc>
          <w:tcPr>
            <w:tcW w:w="1799" w:type="dxa"/>
            <w:tcBorders>
              <w:top w:val="single" w:sz="2" w:space="0" w:color="CCCCCC"/>
              <w:left w:val="single" w:sz="2" w:space="0" w:color="CCCCCC"/>
              <w:bottom w:val="single" w:sz="2" w:space="0" w:color="CCCCCC"/>
              <w:right w:val="single" w:sz="2" w:space="0" w:color="CCCCCC"/>
            </w:tcBorders>
            <w:shd w:fill="E8EAF6" w:val="clear"/>
          </w:tcPr>
          <w:p>
            <w:pPr>
              <w:pStyle w:val="Normal"/>
              <w:rPr/>
            </w:pPr>
            <w:r>
              <w:rPr>
                <w:rFonts w:eastAsia="Arial" w:cs="Arial"/>
                <w:b/>
                <w:bCs/>
                <w:color w:val="283593"/>
                <w:sz w:val="18"/>
                <w:szCs w:val="18"/>
              </w:rPr>
              <w:t>MLL-S01</w:t>
            </w:r>
          </w:p>
        </w:tc>
        <w:tc>
          <w:tcPr>
            <w:tcW w:w="8040" w:type="dxa"/>
            <w:tcBorders>
              <w:top w:val="single" w:sz="2" w:space="0" w:color="CCCCCC"/>
              <w:left w:val="single" w:sz="2" w:space="0" w:color="CCCCCC"/>
              <w:bottom w:val="single" w:sz="2" w:space="0" w:color="CCCCCC"/>
              <w:right w:val="single" w:sz="2" w:space="0" w:color="CCCCCC"/>
            </w:tcBorders>
            <w:shd w:fill="E8EAF6" w:val="clear"/>
          </w:tcPr>
          <w:p>
            <w:pPr>
              <w:pStyle w:val="Normal"/>
              <w:rPr/>
            </w:pPr>
            <w:r>
              <w:rPr>
                <w:rFonts w:eastAsia="Arial" w:cs="Arial"/>
                <w:b/>
                <w:bCs/>
                <w:sz w:val="20"/>
                <w:szCs w:val="20"/>
              </w:rPr>
              <w:t>Build Text Cleaning Module (clean_text)</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Description</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 a developer, I need to implement the clean_text() function that removes noise from raw ticket text to improve embedding quality. This includes removing Jira markup ([~user], {panel}, {code}), replacing URLs with [URL], emails with [EMAIL], MAC addresses with [MAC], normalizing carriage returns, and collapsing whitespace.</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Acceptance Criteria</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 Removes all Jira markup patterns. 2) URLs replaced with [URL]. 3) Emails replaced with [EMAIL]. 4) MAC addresses replaced with [MAC]. 5) _x005F_x000D_ artifacts removed. 6) Whitespace collapsed. 7) Unit tests pass with 100% coverage.</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Story Points</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3 points | Sprint 3</w:t>
            </w:r>
          </w:p>
        </w:tc>
      </w:tr>
    </w:tbl>
    <w:p>
      <w:pPr>
        <w:pStyle w:val="Normal"/>
        <w:spacing w:before="0" w:after="120"/>
        <w:rPr/>
      </w:pPr>
      <w:r>
        <w:rPr/>
      </w:r>
    </w:p>
    <w:tbl>
      <w:tblPr>
        <w:tblW w:w="9840" w:type="dxa"/>
        <w:jc w:val="left"/>
        <w:tblInd w:w="0" w:type="dxa"/>
        <w:tblLayout w:type="fixed"/>
        <w:tblCellMar>
          <w:top w:w="60" w:type="dxa"/>
          <w:left w:w="100" w:type="dxa"/>
          <w:bottom w:w="60" w:type="dxa"/>
          <w:right w:w="100" w:type="dxa"/>
        </w:tblCellMar>
      </w:tblPr>
      <w:tblGrid>
        <w:gridCol w:w="1799"/>
        <w:gridCol w:w="8040"/>
      </w:tblGrid>
      <w:tr>
        <w:trPr/>
        <w:tc>
          <w:tcPr>
            <w:tcW w:w="1799" w:type="dxa"/>
            <w:tcBorders>
              <w:top w:val="single" w:sz="2" w:space="0" w:color="CCCCCC"/>
              <w:left w:val="single" w:sz="2" w:space="0" w:color="CCCCCC"/>
              <w:bottom w:val="single" w:sz="2" w:space="0" w:color="CCCCCC"/>
              <w:right w:val="single" w:sz="2" w:space="0" w:color="CCCCCC"/>
            </w:tcBorders>
            <w:shd w:fill="E8EAF6" w:val="clear"/>
          </w:tcPr>
          <w:p>
            <w:pPr>
              <w:pStyle w:val="Normal"/>
              <w:rPr/>
            </w:pPr>
            <w:r>
              <w:rPr>
                <w:rFonts w:eastAsia="Arial" w:cs="Arial"/>
                <w:b/>
                <w:bCs/>
                <w:color w:val="283593"/>
                <w:sz w:val="18"/>
                <w:szCs w:val="18"/>
              </w:rPr>
              <w:t>MLL-S02</w:t>
            </w:r>
          </w:p>
        </w:tc>
        <w:tc>
          <w:tcPr>
            <w:tcW w:w="8040" w:type="dxa"/>
            <w:tcBorders>
              <w:top w:val="single" w:sz="2" w:space="0" w:color="CCCCCC"/>
              <w:left w:val="single" w:sz="2" w:space="0" w:color="CCCCCC"/>
              <w:bottom w:val="single" w:sz="2" w:space="0" w:color="CCCCCC"/>
              <w:right w:val="single" w:sz="2" w:space="0" w:color="CCCCCC"/>
            </w:tcBorders>
            <w:shd w:fill="E8EAF6" w:val="clear"/>
          </w:tcPr>
          <w:p>
            <w:pPr>
              <w:pStyle w:val="Normal"/>
              <w:rPr/>
            </w:pPr>
            <w:r>
              <w:rPr>
                <w:rFonts w:eastAsia="Arial" w:cs="Arial"/>
                <w:b/>
                <w:bCs/>
                <w:sz w:val="20"/>
                <w:szCs w:val="20"/>
              </w:rPr>
              <w:t>Build Schema Normalization Module (normalize_schema)</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Description</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 a developer, I need to implement normalize_schema() that standardizes field formats: extracting names from 'Name (ID)' format, normalizing dates to ISO 8601, and computing derived fields (duration_days, has_network_requirement, has_quotation, story_count, attachment_count).</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Acceptance Criteria</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 Names extracted from parenthetical format. 2) All dates ISO 8601. 3) Computed fields calculated. 4) Classification fields populated. 5) Unit tests pass.</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Story Points</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3 points | Sprint 3</w:t>
            </w:r>
          </w:p>
        </w:tc>
      </w:tr>
    </w:tbl>
    <w:p>
      <w:pPr>
        <w:pStyle w:val="Normal"/>
        <w:spacing w:before="0" w:after="120"/>
        <w:rPr/>
      </w:pPr>
      <w:r>
        <w:rPr/>
      </w:r>
    </w:p>
    <w:tbl>
      <w:tblPr>
        <w:tblW w:w="9840" w:type="dxa"/>
        <w:jc w:val="left"/>
        <w:tblInd w:w="0" w:type="dxa"/>
        <w:tblLayout w:type="fixed"/>
        <w:tblCellMar>
          <w:top w:w="60" w:type="dxa"/>
          <w:left w:w="100" w:type="dxa"/>
          <w:bottom w:w="60" w:type="dxa"/>
          <w:right w:w="100" w:type="dxa"/>
        </w:tblCellMar>
      </w:tblPr>
      <w:tblGrid>
        <w:gridCol w:w="1799"/>
        <w:gridCol w:w="8040"/>
      </w:tblGrid>
      <w:tr>
        <w:trPr/>
        <w:tc>
          <w:tcPr>
            <w:tcW w:w="1799" w:type="dxa"/>
            <w:tcBorders>
              <w:top w:val="single" w:sz="2" w:space="0" w:color="CCCCCC"/>
              <w:left w:val="single" w:sz="2" w:space="0" w:color="CCCCCC"/>
              <w:bottom w:val="single" w:sz="2" w:space="0" w:color="CCCCCC"/>
              <w:right w:val="single" w:sz="2" w:space="0" w:color="CCCCCC"/>
            </w:tcBorders>
            <w:shd w:fill="E8EAF6" w:val="clear"/>
          </w:tcPr>
          <w:p>
            <w:pPr>
              <w:pStyle w:val="Normal"/>
              <w:rPr/>
            </w:pPr>
            <w:r>
              <w:rPr>
                <w:rFonts w:eastAsia="Arial" w:cs="Arial"/>
                <w:b/>
                <w:bCs/>
                <w:color w:val="283593"/>
                <w:sz w:val="18"/>
                <w:szCs w:val="18"/>
              </w:rPr>
              <w:t>MLL-S03</w:t>
            </w:r>
          </w:p>
        </w:tc>
        <w:tc>
          <w:tcPr>
            <w:tcW w:w="8040" w:type="dxa"/>
            <w:tcBorders>
              <w:top w:val="single" w:sz="2" w:space="0" w:color="CCCCCC"/>
              <w:left w:val="single" w:sz="2" w:space="0" w:color="CCCCCC"/>
              <w:bottom w:val="single" w:sz="2" w:space="0" w:color="CCCCCC"/>
              <w:right w:val="single" w:sz="2" w:space="0" w:color="CCCCCC"/>
            </w:tcBorders>
            <w:shd w:fill="E8EAF6" w:val="clear"/>
          </w:tcPr>
          <w:p>
            <w:pPr>
              <w:pStyle w:val="Normal"/>
              <w:rPr/>
            </w:pPr>
            <w:r>
              <w:rPr>
                <w:rFonts w:eastAsia="Arial" w:cs="Arial"/>
                <w:b/>
                <w:bCs/>
                <w:sz w:val="20"/>
                <w:szCs w:val="20"/>
              </w:rPr>
              <w:t>Build Semantic Document Template Engine</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Description</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 a developer, I need to implement the semantic template engine that converts structured JSON into natural language paragraphs across 8 section templates: identity_summary, classification, description, scope_people, timeline, user_stories, network, quotation_cost. Each section must read as a coherent paragraph that sentence-transformers can understand, NOT as key-value pairs.</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Acceptance Criteria</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 8 templates implemented. 2) Each produces natural language paragraphs. 3) Empty/null sections omitted. 4) Full document concatenation produces complete semantic doc. 5) Chunked output returns dict of section_name:text. 6) Output matches semantic_document_output.txt reference format. 7) Doc hash generated for deduplication.</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Story Points</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8 points | Sprint 3-4</w:t>
            </w:r>
          </w:p>
        </w:tc>
      </w:tr>
    </w:tbl>
    <w:p>
      <w:pPr>
        <w:pStyle w:val="Normal"/>
        <w:spacing w:before="0" w:after="120"/>
        <w:rPr/>
      </w:pPr>
      <w:r>
        <w:rPr/>
      </w:r>
    </w:p>
    <w:tbl>
      <w:tblPr>
        <w:tblW w:w="9840" w:type="dxa"/>
        <w:jc w:val="left"/>
        <w:tblInd w:w="0" w:type="dxa"/>
        <w:tblLayout w:type="fixed"/>
        <w:tblCellMar>
          <w:top w:w="60" w:type="dxa"/>
          <w:left w:w="100" w:type="dxa"/>
          <w:bottom w:w="60" w:type="dxa"/>
          <w:right w:w="100" w:type="dxa"/>
        </w:tblCellMar>
      </w:tblPr>
      <w:tblGrid>
        <w:gridCol w:w="1799"/>
        <w:gridCol w:w="8040"/>
      </w:tblGrid>
      <w:tr>
        <w:trPr/>
        <w:tc>
          <w:tcPr>
            <w:tcW w:w="1799" w:type="dxa"/>
            <w:tcBorders>
              <w:top w:val="single" w:sz="2" w:space="0" w:color="CCCCCC"/>
              <w:left w:val="single" w:sz="2" w:space="0" w:color="CCCCCC"/>
              <w:bottom w:val="single" w:sz="2" w:space="0" w:color="CCCCCC"/>
              <w:right w:val="single" w:sz="2" w:space="0" w:color="CCCCCC"/>
            </w:tcBorders>
            <w:shd w:fill="E8EAF6" w:val="clear"/>
          </w:tcPr>
          <w:p>
            <w:pPr>
              <w:pStyle w:val="Normal"/>
              <w:rPr/>
            </w:pPr>
            <w:r>
              <w:rPr>
                <w:rFonts w:eastAsia="Arial" w:cs="Arial"/>
                <w:b/>
                <w:bCs/>
                <w:color w:val="283593"/>
                <w:sz w:val="18"/>
                <w:szCs w:val="18"/>
              </w:rPr>
              <w:t>MLL-S04</w:t>
            </w:r>
          </w:p>
        </w:tc>
        <w:tc>
          <w:tcPr>
            <w:tcW w:w="8040" w:type="dxa"/>
            <w:tcBorders>
              <w:top w:val="single" w:sz="2" w:space="0" w:color="CCCCCC"/>
              <w:left w:val="single" w:sz="2" w:space="0" w:color="CCCCCC"/>
              <w:bottom w:val="single" w:sz="2" w:space="0" w:color="CCCCCC"/>
              <w:right w:val="single" w:sz="2" w:space="0" w:color="CCCCCC"/>
            </w:tcBorders>
            <w:shd w:fill="E8EAF6" w:val="clear"/>
          </w:tcPr>
          <w:p>
            <w:pPr>
              <w:pStyle w:val="Normal"/>
              <w:rPr/>
            </w:pPr>
            <w:r>
              <w:rPr>
                <w:rFonts w:eastAsia="Arial" w:cs="Arial"/>
                <w:b/>
                <w:bCs/>
                <w:sz w:val="20"/>
                <w:szCs w:val="20"/>
              </w:rPr>
              <w:t>Build Embedding Generation Pipeline</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Description</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 a developer, I need to implement the embedding pipeline using sentence-transformers (all-MiniLM-L6-v2) that generates 384-dimensional vectors for each semantic chunk. Vectors must be L2-normalized for cosine similarity. Both full-document and chunked embedding modes required.</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Acceptance Criteria</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 all-MiniLM-L6-v2 model loaded. 2) Full document → single 384-dim vector. 3) Each chunk → separate 384-dim vector. 4) All vectors L2 normalized. 5) Batch processing for 16,852 records. 6) Processing time &lt;60 min for full dataset.</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Story Points</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5 points | Sprint 4</w:t>
            </w:r>
          </w:p>
        </w:tc>
      </w:tr>
    </w:tbl>
    <w:p>
      <w:pPr>
        <w:pStyle w:val="Normal"/>
        <w:spacing w:before="0" w:after="120"/>
        <w:rPr/>
      </w:pPr>
      <w:r>
        <w:rPr/>
      </w:r>
    </w:p>
    <w:tbl>
      <w:tblPr>
        <w:tblW w:w="9840" w:type="dxa"/>
        <w:jc w:val="left"/>
        <w:tblInd w:w="0" w:type="dxa"/>
        <w:tblLayout w:type="fixed"/>
        <w:tblCellMar>
          <w:top w:w="60" w:type="dxa"/>
          <w:left w:w="100" w:type="dxa"/>
          <w:bottom w:w="60" w:type="dxa"/>
          <w:right w:w="100" w:type="dxa"/>
        </w:tblCellMar>
      </w:tblPr>
      <w:tblGrid>
        <w:gridCol w:w="1799"/>
        <w:gridCol w:w="8040"/>
      </w:tblGrid>
      <w:tr>
        <w:trPr/>
        <w:tc>
          <w:tcPr>
            <w:tcW w:w="1799" w:type="dxa"/>
            <w:tcBorders>
              <w:top w:val="single" w:sz="2" w:space="0" w:color="CCCCCC"/>
              <w:left w:val="single" w:sz="2" w:space="0" w:color="CCCCCC"/>
              <w:bottom w:val="single" w:sz="2" w:space="0" w:color="CCCCCC"/>
              <w:right w:val="single" w:sz="2" w:space="0" w:color="CCCCCC"/>
            </w:tcBorders>
            <w:shd w:fill="E8EAF6" w:val="clear"/>
          </w:tcPr>
          <w:p>
            <w:pPr>
              <w:pStyle w:val="Normal"/>
              <w:rPr/>
            </w:pPr>
            <w:r>
              <w:rPr>
                <w:rFonts w:eastAsia="Arial" w:cs="Arial"/>
                <w:b/>
                <w:bCs/>
                <w:color w:val="283593"/>
                <w:sz w:val="18"/>
                <w:szCs w:val="18"/>
              </w:rPr>
              <w:t>MLL-S05</w:t>
            </w:r>
          </w:p>
        </w:tc>
        <w:tc>
          <w:tcPr>
            <w:tcW w:w="8040" w:type="dxa"/>
            <w:tcBorders>
              <w:top w:val="single" w:sz="2" w:space="0" w:color="CCCCCC"/>
              <w:left w:val="single" w:sz="2" w:space="0" w:color="CCCCCC"/>
              <w:bottom w:val="single" w:sz="2" w:space="0" w:color="CCCCCC"/>
              <w:right w:val="single" w:sz="2" w:space="0" w:color="CCCCCC"/>
            </w:tcBorders>
            <w:shd w:fill="E8EAF6" w:val="clear"/>
          </w:tcPr>
          <w:p>
            <w:pPr>
              <w:pStyle w:val="Normal"/>
              <w:rPr/>
            </w:pPr>
            <w:r>
              <w:rPr>
                <w:rFonts w:eastAsia="Arial" w:cs="Arial"/>
                <w:b/>
                <w:bCs/>
                <w:sz w:val="20"/>
                <w:szCs w:val="20"/>
              </w:rPr>
              <w:t>Build Metadata Extraction Module</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Description</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 a developer, I need to implement extract_metadata() that pulls filterable dimensions from each normalized record: site_name, region, sector, request_type, capability_center, complexity_tier, epic_status, priority. These are stored alongside vectors for filtered retrieval.</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Acceptance Criteria</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 All filterable fields extracted. 2) doc_hash computed for dedup. 3) Metadata stored as JSON. 4) Compatible with vector store metadata format. 5) Stored to Content Sphere Silver bucket.</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Story Points</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3 points | Sprint 4</w:t>
            </w:r>
          </w:p>
        </w:tc>
      </w:tr>
    </w:tbl>
    <w:p>
      <w:pPr>
        <w:pStyle w:val="Normal"/>
        <w:spacing w:before="0" w:after="120"/>
        <w:rPr/>
      </w:pPr>
      <w:r>
        <w:rPr/>
      </w:r>
    </w:p>
    <w:tbl>
      <w:tblPr>
        <w:tblW w:w="9840" w:type="dxa"/>
        <w:jc w:val="left"/>
        <w:tblInd w:w="0" w:type="dxa"/>
        <w:tblLayout w:type="fixed"/>
        <w:tblCellMar>
          <w:top w:w="60" w:type="dxa"/>
          <w:left w:w="100" w:type="dxa"/>
          <w:bottom w:w="60" w:type="dxa"/>
          <w:right w:w="100" w:type="dxa"/>
        </w:tblCellMar>
      </w:tblPr>
      <w:tblGrid>
        <w:gridCol w:w="1799"/>
        <w:gridCol w:w="8040"/>
      </w:tblGrid>
      <w:tr>
        <w:trPr/>
        <w:tc>
          <w:tcPr>
            <w:tcW w:w="1799" w:type="dxa"/>
            <w:tcBorders>
              <w:top w:val="single" w:sz="2" w:space="0" w:color="CCCCCC"/>
              <w:left w:val="single" w:sz="2" w:space="0" w:color="CCCCCC"/>
              <w:bottom w:val="single" w:sz="2" w:space="0" w:color="CCCCCC"/>
              <w:right w:val="single" w:sz="2" w:space="0" w:color="CCCCCC"/>
            </w:tcBorders>
            <w:shd w:fill="E8EAF6" w:val="clear"/>
          </w:tcPr>
          <w:p>
            <w:pPr>
              <w:pStyle w:val="Normal"/>
              <w:rPr/>
            </w:pPr>
            <w:r>
              <w:rPr>
                <w:rFonts w:eastAsia="Arial" w:cs="Arial"/>
                <w:b/>
                <w:bCs/>
                <w:color w:val="283593"/>
                <w:sz w:val="18"/>
                <w:szCs w:val="18"/>
              </w:rPr>
              <w:t>MLL-S06</w:t>
            </w:r>
          </w:p>
        </w:tc>
        <w:tc>
          <w:tcPr>
            <w:tcW w:w="8040" w:type="dxa"/>
            <w:tcBorders>
              <w:top w:val="single" w:sz="2" w:space="0" w:color="CCCCCC"/>
              <w:left w:val="single" w:sz="2" w:space="0" w:color="CCCCCC"/>
              <w:bottom w:val="single" w:sz="2" w:space="0" w:color="CCCCCC"/>
              <w:right w:val="single" w:sz="2" w:space="0" w:color="CCCCCC"/>
            </w:tcBorders>
            <w:shd w:fill="E8EAF6" w:val="clear"/>
          </w:tcPr>
          <w:p>
            <w:pPr>
              <w:pStyle w:val="Normal"/>
              <w:rPr/>
            </w:pPr>
            <w:r>
              <w:rPr>
                <w:rFonts w:eastAsia="Arial" w:cs="Arial"/>
                <w:b/>
                <w:bCs/>
                <w:sz w:val="20"/>
                <w:szCs w:val="20"/>
              </w:rPr>
              <w:t>Load Embeddings into LangFlow Vector Store</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Description</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 a developer, I need to load all generated embeddings and metadata into the LangFlow-compatible vector store (AstraDB or Chroma). Configure HNSW index with 384 dimensions and cosine similarity. Verify query latency &lt;3ms for Top-K=5 retrieval.</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Acceptance Criteria</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 All embeddings loaded into vector store. 2) HNSW index configured (384-dim, cosine). 3) Metadata attached for filtering. 4) Top-K=5 query latency &lt;3ms. 5) Similarity search returns correct results for test queries. 6) Content Sphere Silver bucket updated with index state.</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Story Points</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5 points | Sprint 4</w:t>
            </w:r>
          </w:p>
        </w:tc>
      </w:tr>
    </w:tbl>
    <w:p>
      <w:pPr>
        <w:pStyle w:val="Normal"/>
        <w:spacing w:before="0" w:after="120"/>
        <w:rPr/>
      </w:pPr>
      <w:r>
        <w:rPr/>
      </w:r>
    </w:p>
    <w:p>
      <w:pPr>
        <w:pStyle w:val="Heading2"/>
        <w:spacing w:before="280" w:after="120"/>
        <w:rPr/>
      </w:pPr>
      <w:r>
        <w:rPr>
          <w:rFonts w:eastAsia="Arial" w:cs="Arial" w:ascii="Arial" w:hAnsi="Arial"/>
        </w:rPr>
        <w:t>7.3 Gold Layer Stories (Sprints 5-</w:t>
      </w:r>
      <w:r>
        <w:rPr>
          <w:rFonts w:eastAsia="Arial" w:cs="Arial" w:ascii="Arial" w:hAnsi="Arial"/>
        </w:rPr>
        <w:t>8</w:t>
      </w:r>
      <w:r>
        <w:rPr>
          <w:rFonts w:eastAsia="Arial" w:cs="Arial" w:ascii="Arial" w:hAnsi="Arial"/>
        </w:rPr>
        <w:t>)</w:t>
      </w:r>
    </w:p>
    <w:tbl>
      <w:tblPr>
        <w:tblW w:w="9840" w:type="dxa"/>
        <w:jc w:val="left"/>
        <w:tblInd w:w="0" w:type="dxa"/>
        <w:tblLayout w:type="fixed"/>
        <w:tblCellMar>
          <w:top w:w="60" w:type="dxa"/>
          <w:left w:w="100" w:type="dxa"/>
          <w:bottom w:w="60" w:type="dxa"/>
          <w:right w:w="100" w:type="dxa"/>
        </w:tblCellMar>
      </w:tblPr>
      <w:tblGrid>
        <w:gridCol w:w="1799"/>
        <w:gridCol w:w="8040"/>
      </w:tblGrid>
      <w:tr>
        <w:trPr/>
        <w:tc>
          <w:tcPr>
            <w:tcW w:w="1799" w:type="dxa"/>
            <w:tcBorders>
              <w:top w:val="single" w:sz="2" w:space="0" w:color="CCCCCC"/>
              <w:left w:val="single" w:sz="2" w:space="0" w:color="CCCCCC"/>
              <w:bottom w:val="single" w:sz="2" w:space="0" w:color="CCCCCC"/>
              <w:right w:val="single" w:sz="2" w:space="0" w:color="CCCCCC"/>
            </w:tcBorders>
            <w:shd w:fill="FFF9C4" w:val="clear"/>
          </w:tcPr>
          <w:p>
            <w:pPr>
              <w:pStyle w:val="Normal"/>
              <w:rPr/>
            </w:pPr>
            <w:r>
              <w:rPr>
                <w:rFonts w:eastAsia="Arial" w:cs="Arial"/>
                <w:b/>
                <w:bCs/>
                <w:color w:val="F57F17"/>
                <w:sz w:val="18"/>
                <w:szCs w:val="18"/>
              </w:rPr>
              <w:t>MLL-G01</w:t>
            </w:r>
          </w:p>
        </w:tc>
        <w:tc>
          <w:tcPr>
            <w:tcW w:w="8040" w:type="dxa"/>
            <w:tcBorders>
              <w:top w:val="single" w:sz="2" w:space="0" w:color="CCCCCC"/>
              <w:left w:val="single" w:sz="2" w:space="0" w:color="CCCCCC"/>
              <w:bottom w:val="single" w:sz="2" w:space="0" w:color="CCCCCC"/>
              <w:right w:val="single" w:sz="2" w:space="0" w:color="CCCCCC"/>
            </w:tcBorders>
            <w:shd w:fill="FFF9C4" w:val="clear"/>
          </w:tcPr>
          <w:p>
            <w:pPr>
              <w:pStyle w:val="Normal"/>
              <w:rPr/>
            </w:pPr>
            <w:r>
              <w:rPr>
                <w:rFonts w:eastAsia="Arial" w:cs="Arial"/>
                <w:b/>
                <w:bCs/>
                <w:sz w:val="20"/>
                <w:szCs w:val="20"/>
              </w:rPr>
              <w:t>Build LangFlow Supervisor Agent Flow</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Description</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 a developer, I need to create the Supervisor agent in LangFlow that serves as the central orchestrator. It receives user messages, passes them to the Intent Classifier, receives classification results, and routes to the appropriate specialized agent. It maintains conversation state via Redis.</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Acceptance Criteria</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 Supervisor receives all user messages. 2) Routes to Intent Classifier first. 3) Routes to Clarity Agent after classification. 4) Routes to specialized agent after clarity check. 5) Maintains conversation state in Redis. 6) Handles escalation to human agent.</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Story Points</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8 points | Sprint 5</w:t>
            </w:r>
          </w:p>
        </w:tc>
      </w:tr>
    </w:tbl>
    <w:p>
      <w:pPr>
        <w:pStyle w:val="Normal"/>
        <w:spacing w:before="0" w:after="120"/>
        <w:rPr/>
      </w:pPr>
      <w:r>
        <w:rPr/>
      </w:r>
    </w:p>
    <w:tbl>
      <w:tblPr>
        <w:tblW w:w="9840" w:type="dxa"/>
        <w:jc w:val="left"/>
        <w:tblInd w:w="0" w:type="dxa"/>
        <w:tblLayout w:type="fixed"/>
        <w:tblCellMar>
          <w:top w:w="60" w:type="dxa"/>
          <w:left w:w="100" w:type="dxa"/>
          <w:bottom w:w="60" w:type="dxa"/>
          <w:right w:w="100" w:type="dxa"/>
        </w:tblCellMar>
      </w:tblPr>
      <w:tblGrid>
        <w:gridCol w:w="1799"/>
        <w:gridCol w:w="8040"/>
      </w:tblGrid>
      <w:tr>
        <w:trPr/>
        <w:tc>
          <w:tcPr>
            <w:tcW w:w="1799" w:type="dxa"/>
            <w:tcBorders>
              <w:top w:val="single" w:sz="2" w:space="0" w:color="CCCCCC"/>
              <w:left w:val="single" w:sz="2" w:space="0" w:color="CCCCCC"/>
              <w:bottom w:val="single" w:sz="2" w:space="0" w:color="CCCCCC"/>
              <w:right w:val="single" w:sz="2" w:space="0" w:color="CCCCCC"/>
            </w:tcBorders>
            <w:shd w:fill="FFF9C4" w:val="clear"/>
          </w:tcPr>
          <w:p>
            <w:pPr>
              <w:pStyle w:val="Normal"/>
              <w:rPr/>
            </w:pPr>
            <w:r>
              <w:rPr>
                <w:rFonts w:eastAsia="Arial" w:cs="Arial"/>
                <w:b/>
                <w:bCs/>
                <w:color w:val="F57F17"/>
                <w:sz w:val="18"/>
                <w:szCs w:val="18"/>
              </w:rPr>
              <w:t>MLL-G02</w:t>
            </w:r>
          </w:p>
        </w:tc>
        <w:tc>
          <w:tcPr>
            <w:tcW w:w="8040" w:type="dxa"/>
            <w:tcBorders>
              <w:top w:val="single" w:sz="2" w:space="0" w:color="CCCCCC"/>
              <w:left w:val="single" w:sz="2" w:space="0" w:color="CCCCCC"/>
              <w:bottom w:val="single" w:sz="2" w:space="0" w:color="CCCCCC"/>
              <w:right w:val="single" w:sz="2" w:space="0" w:color="CCCCCC"/>
            </w:tcBorders>
            <w:shd w:fill="FFF9C4" w:val="clear"/>
          </w:tcPr>
          <w:p>
            <w:pPr>
              <w:pStyle w:val="Normal"/>
              <w:rPr/>
            </w:pPr>
            <w:r>
              <w:rPr>
                <w:rFonts w:eastAsia="Arial" w:cs="Arial"/>
                <w:b/>
                <w:bCs/>
                <w:sz w:val="20"/>
                <w:szCs w:val="20"/>
              </w:rPr>
              <w:t>Build Intent Classifier Agent in LangFlow</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Description</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 a developer, I need to create the Intent Classifier agent in LangFlow using the RAG pipeline: embed user query (384-dim), search vector store for Top-5 similar historical tickets, pass retrieved context to LLM for classification. Output: request_type (IntakeRequest|NetworkRequest|IncidentRequest|AccessRequest|StatusQuery), capability_center, confidence_score.</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Acceptance Criteria</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 User query embedded via all-MiniLM-L6-v2. 2) Top-5 similar tickets retrieved from vector store. 3) LLM classifies using retrieved context. 4) Output includes request_type, capability_center, confidence_score. 5) &gt;95% accuracy on test dataset. 6) &lt;500ms total classification time.</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Story Points</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8 points | Sprint 5-6</w:t>
            </w:r>
          </w:p>
        </w:tc>
      </w:tr>
    </w:tbl>
    <w:p>
      <w:pPr>
        <w:pStyle w:val="Normal"/>
        <w:spacing w:before="0" w:after="120"/>
        <w:rPr/>
      </w:pPr>
      <w:r>
        <w:rPr/>
      </w:r>
    </w:p>
    <w:tbl>
      <w:tblPr>
        <w:tblW w:w="9840" w:type="dxa"/>
        <w:jc w:val="left"/>
        <w:tblInd w:w="0" w:type="dxa"/>
        <w:tblLayout w:type="fixed"/>
        <w:tblCellMar>
          <w:top w:w="60" w:type="dxa"/>
          <w:left w:w="100" w:type="dxa"/>
          <w:bottom w:w="60" w:type="dxa"/>
          <w:right w:w="100" w:type="dxa"/>
        </w:tblCellMar>
      </w:tblPr>
      <w:tblGrid>
        <w:gridCol w:w="1799"/>
        <w:gridCol w:w="8040"/>
      </w:tblGrid>
      <w:tr>
        <w:trPr/>
        <w:tc>
          <w:tcPr>
            <w:tcW w:w="1799" w:type="dxa"/>
            <w:tcBorders>
              <w:top w:val="single" w:sz="2" w:space="0" w:color="CCCCCC"/>
              <w:left w:val="single" w:sz="2" w:space="0" w:color="CCCCCC"/>
              <w:bottom w:val="single" w:sz="2" w:space="0" w:color="CCCCCC"/>
              <w:right w:val="single" w:sz="2" w:space="0" w:color="CCCCCC"/>
            </w:tcBorders>
            <w:shd w:fill="FFF9C4" w:val="clear"/>
          </w:tcPr>
          <w:p>
            <w:pPr>
              <w:pStyle w:val="Normal"/>
              <w:rPr/>
            </w:pPr>
            <w:r>
              <w:rPr>
                <w:rFonts w:eastAsia="Arial" w:cs="Arial"/>
                <w:b/>
                <w:bCs/>
                <w:color w:val="F57F17"/>
                <w:sz w:val="18"/>
                <w:szCs w:val="18"/>
              </w:rPr>
              <w:t>MLL-G03</w:t>
            </w:r>
          </w:p>
        </w:tc>
        <w:tc>
          <w:tcPr>
            <w:tcW w:w="8040" w:type="dxa"/>
            <w:tcBorders>
              <w:top w:val="single" w:sz="2" w:space="0" w:color="CCCCCC"/>
              <w:left w:val="single" w:sz="2" w:space="0" w:color="CCCCCC"/>
              <w:bottom w:val="single" w:sz="2" w:space="0" w:color="CCCCCC"/>
              <w:right w:val="single" w:sz="2" w:space="0" w:color="CCCCCC"/>
            </w:tcBorders>
            <w:shd w:fill="FFF9C4" w:val="clear"/>
          </w:tcPr>
          <w:p>
            <w:pPr>
              <w:pStyle w:val="Normal"/>
              <w:rPr/>
            </w:pPr>
            <w:r>
              <w:rPr>
                <w:rFonts w:eastAsia="Arial" w:cs="Arial"/>
                <w:b/>
                <w:bCs/>
                <w:sz w:val="20"/>
                <w:szCs w:val="20"/>
              </w:rPr>
              <w:t>Build Clarity Agent in LangFlow</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Description</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 a developer, I need to create the Clarity Agent that identifies missing required fields based on the classified request type and asks targeted follow-up questions. For IntakeRequest: Site ID, capability center, business problem, Nexus ID. For NetworkRequest: existing RITM, network type, cable drops, switch names. Uses similar tickets to suggest smart defaults.</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Acceptance Criteria</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 Identifies missing required fields per request type. 2) Asks one question at a time. 3) Pre-fills defaults from similar tickets. 4) Validates user responses (Site ID = 4 digits, etc.). 5) Passes completed fields to specialized agent. 6) Accepts substantive text for description fields.</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Story Points</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8 points | Sprint 6</w:t>
            </w:r>
          </w:p>
        </w:tc>
      </w:tr>
    </w:tbl>
    <w:p>
      <w:pPr>
        <w:pStyle w:val="Normal"/>
        <w:spacing w:before="0" w:after="120"/>
        <w:rPr/>
      </w:pPr>
      <w:r>
        <w:rPr/>
      </w:r>
    </w:p>
    <w:tbl>
      <w:tblPr>
        <w:tblW w:w="9840" w:type="dxa"/>
        <w:jc w:val="left"/>
        <w:tblInd w:w="0" w:type="dxa"/>
        <w:tblLayout w:type="fixed"/>
        <w:tblCellMar>
          <w:top w:w="60" w:type="dxa"/>
          <w:left w:w="100" w:type="dxa"/>
          <w:bottom w:w="60" w:type="dxa"/>
          <w:right w:w="100" w:type="dxa"/>
        </w:tblCellMar>
      </w:tblPr>
      <w:tblGrid>
        <w:gridCol w:w="1799"/>
        <w:gridCol w:w="8040"/>
      </w:tblGrid>
      <w:tr>
        <w:trPr/>
        <w:tc>
          <w:tcPr>
            <w:tcW w:w="1799" w:type="dxa"/>
            <w:tcBorders>
              <w:top w:val="single" w:sz="2" w:space="0" w:color="CCCCCC"/>
              <w:left w:val="single" w:sz="2" w:space="0" w:color="CCCCCC"/>
              <w:bottom w:val="single" w:sz="2" w:space="0" w:color="CCCCCC"/>
              <w:right w:val="single" w:sz="2" w:space="0" w:color="CCCCCC"/>
            </w:tcBorders>
            <w:shd w:fill="FFF9C4" w:val="clear"/>
          </w:tcPr>
          <w:p>
            <w:pPr>
              <w:pStyle w:val="Normal"/>
              <w:rPr/>
            </w:pPr>
            <w:r>
              <w:rPr>
                <w:rFonts w:eastAsia="Arial" w:cs="Arial"/>
                <w:b/>
                <w:bCs/>
                <w:color w:val="F57F17"/>
                <w:sz w:val="18"/>
                <w:szCs w:val="18"/>
              </w:rPr>
              <w:t>MLL-G04</w:t>
            </w:r>
          </w:p>
        </w:tc>
        <w:tc>
          <w:tcPr>
            <w:tcW w:w="8040" w:type="dxa"/>
            <w:tcBorders>
              <w:top w:val="single" w:sz="2" w:space="0" w:color="CCCCCC"/>
              <w:left w:val="single" w:sz="2" w:space="0" w:color="CCCCCC"/>
              <w:bottom w:val="single" w:sz="2" w:space="0" w:color="CCCCCC"/>
              <w:right w:val="single" w:sz="2" w:space="0" w:color="CCCCCC"/>
            </w:tcBorders>
            <w:shd w:fill="FFF9C4" w:val="clear"/>
          </w:tcPr>
          <w:p>
            <w:pPr>
              <w:pStyle w:val="Normal"/>
              <w:rPr/>
            </w:pPr>
            <w:r>
              <w:rPr>
                <w:rFonts w:eastAsia="Arial" w:cs="Arial"/>
                <w:b/>
                <w:bCs/>
                <w:sz w:val="20"/>
                <w:szCs w:val="20"/>
              </w:rPr>
              <w:t>Build Intake Agent in LangFlow</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Description</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 a developer, I need to create the Intake Agent that handles new Solution Intake requests. It takes collected fields from Clarity Agent, creates an IRIS RITM via ServiceNow API, and returns the RITM number and expected Jira Epic link to the user.</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Acceptance Criteria</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 Receives complete field set from Clarity Agent. 2) Creates RITM in IRIS via REST API. 3) Returns RITM number to user. 4) Provides expected Jira Epic link. 5) Handles API errors gracefully. 6) Logs action to Content Sphere Gold audit bucket.</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Story Points</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5 points | Sprint 7</w:t>
            </w:r>
          </w:p>
        </w:tc>
      </w:tr>
    </w:tbl>
    <w:p>
      <w:pPr>
        <w:pStyle w:val="Normal"/>
        <w:spacing w:before="0" w:after="120"/>
        <w:rPr/>
      </w:pPr>
      <w:r>
        <w:rPr/>
      </w:r>
    </w:p>
    <w:tbl>
      <w:tblPr>
        <w:tblW w:w="9840" w:type="dxa"/>
        <w:jc w:val="left"/>
        <w:tblInd w:w="0" w:type="dxa"/>
        <w:tblLayout w:type="fixed"/>
        <w:tblCellMar>
          <w:top w:w="60" w:type="dxa"/>
          <w:left w:w="100" w:type="dxa"/>
          <w:bottom w:w="60" w:type="dxa"/>
          <w:right w:w="100" w:type="dxa"/>
        </w:tblCellMar>
      </w:tblPr>
      <w:tblGrid>
        <w:gridCol w:w="1799"/>
        <w:gridCol w:w="8040"/>
      </w:tblGrid>
      <w:tr>
        <w:trPr/>
        <w:tc>
          <w:tcPr>
            <w:tcW w:w="1799" w:type="dxa"/>
            <w:tcBorders>
              <w:top w:val="single" w:sz="2" w:space="0" w:color="CCCCCC"/>
              <w:left w:val="single" w:sz="2" w:space="0" w:color="CCCCCC"/>
              <w:bottom w:val="single" w:sz="2" w:space="0" w:color="CCCCCC"/>
              <w:right w:val="single" w:sz="2" w:space="0" w:color="CCCCCC"/>
            </w:tcBorders>
            <w:shd w:fill="FFF9C4" w:val="clear"/>
          </w:tcPr>
          <w:p>
            <w:pPr>
              <w:pStyle w:val="Normal"/>
              <w:rPr/>
            </w:pPr>
            <w:r>
              <w:rPr>
                <w:rFonts w:eastAsia="Arial" w:cs="Arial"/>
                <w:b/>
                <w:bCs/>
                <w:color w:val="F57F17"/>
                <w:sz w:val="18"/>
                <w:szCs w:val="18"/>
              </w:rPr>
              <w:t>MLL-G05</w:t>
            </w:r>
          </w:p>
        </w:tc>
        <w:tc>
          <w:tcPr>
            <w:tcW w:w="8040" w:type="dxa"/>
            <w:tcBorders>
              <w:top w:val="single" w:sz="2" w:space="0" w:color="CCCCCC"/>
              <w:left w:val="single" w:sz="2" w:space="0" w:color="CCCCCC"/>
              <w:bottom w:val="single" w:sz="2" w:space="0" w:color="CCCCCC"/>
              <w:right w:val="single" w:sz="2" w:space="0" w:color="CCCCCC"/>
            </w:tcBorders>
            <w:shd w:fill="FFF9C4" w:val="clear"/>
          </w:tcPr>
          <w:p>
            <w:pPr>
              <w:pStyle w:val="Normal"/>
              <w:rPr/>
            </w:pPr>
            <w:r>
              <w:rPr>
                <w:rFonts w:eastAsia="Arial" w:cs="Arial"/>
                <w:b/>
                <w:bCs/>
                <w:sz w:val="20"/>
                <w:szCs w:val="20"/>
              </w:rPr>
              <w:t>Build Network Agent in LangFlow</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Description</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 a developer, I need to create the Network Agent for LAN/WAN, Firewall MACD, and switch configuration requests. It validates prerequisite MLL Intake RITM exists, collects network-specific requirements, creates linked Network RITM, and assigns P1-P4 priority.</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Acceptance Criteria</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 Validates parent Intake RITM exists. 2) Collects network type, cable drops, switch names, network zone. 3) Creates Network RITM linked to parent. 4) Assigns priority (P1-P4). 5) Routes to Pete Ward's team review.</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Story Points</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5 points | Sprint 7</w:t>
            </w:r>
          </w:p>
        </w:tc>
      </w:tr>
    </w:tbl>
    <w:p>
      <w:pPr>
        <w:pStyle w:val="Normal"/>
        <w:spacing w:before="0" w:after="120"/>
        <w:rPr/>
      </w:pPr>
      <w:r>
        <w:rPr/>
      </w:r>
    </w:p>
    <w:tbl>
      <w:tblPr>
        <w:tblW w:w="9840" w:type="dxa"/>
        <w:jc w:val="left"/>
        <w:tblInd w:w="0" w:type="dxa"/>
        <w:tblLayout w:type="fixed"/>
        <w:tblCellMar>
          <w:top w:w="60" w:type="dxa"/>
          <w:left w:w="100" w:type="dxa"/>
          <w:bottom w:w="60" w:type="dxa"/>
          <w:right w:w="100" w:type="dxa"/>
        </w:tblCellMar>
      </w:tblPr>
      <w:tblGrid>
        <w:gridCol w:w="1799"/>
        <w:gridCol w:w="8040"/>
      </w:tblGrid>
      <w:tr>
        <w:trPr/>
        <w:tc>
          <w:tcPr>
            <w:tcW w:w="1799" w:type="dxa"/>
            <w:tcBorders>
              <w:top w:val="single" w:sz="2" w:space="0" w:color="CCCCCC"/>
              <w:left w:val="single" w:sz="2" w:space="0" w:color="CCCCCC"/>
              <w:bottom w:val="single" w:sz="2" w:space="0" w:color="CCCCCC"/>
              <w:right w:val="single" w:sz="2" w:space="0" w:color="CCCCCC"/>
            </w:tcBorders>
            <w:shd w:fill="FFF9C4" w:val="clear"/>
          </w:tcPr>
          <w:p>
            <w:pPr>
              <w:pStyle w:val="Normal"/>
              <w:rPr/>
            </w:pPr>
            <w:r>
              <w:rPr>
                <w:rFonts w:eastAsia="Arial" w:cs="Arial"/>
                <w:b/>
                <w:bCs/>
                <w:color w:val="F57F17"/>
                <w:sz w:val="18"/>
                <w:szCs w:val="18"/>
              </w:rPr>
              <w:t>MLL-G06</w:t>
            </w:r>
          </w:p>
        </w:tc>
        <w:tc>
          <w:tcPr>
            <w:tcW w:w="8040" w:type="dxa"/>
            <w:tcBorders>
              <w:top w:val="single" w:sz="2" w:space="0" w:color="CCCCCC"/>
              <w:left w:val="single" w:sz="2" w:space="0" w:color="CCCCCC"/>
              <w:bottom w:val="single" w:sz="2" w:space="0" w:color="CCCCCC"/>
              <w:right w:val="single" w:sz="2" w:space="0" w:color="CCCCCC"/>
            </w:tcBorders>
            <w:shd w:fill="FFF9C4" w:val="clear"/>
          </w:tcPr>
          <w:p>
            <w:pPr>
              <w:pStyle w:val="Normal"/>
              <w:rPr/>
            </w:pPr>
            <w:r>
              <w:rPr>
                <w:rFonts w:eastAsia="Arial" w:cs="Arial"/>
                <w:b/>
                <w:bCs/>
                <w:sz w:val="20"/>
                <w:szCs w:val="20"/>
              </w:rPr>
              <w:t>Build Incident and Access Agents in LangFlow</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Description</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 a developer, I need to create the Incident Agent (break-fix scenarios for existing functionality) and the Access Agent (TS ENGAGE-PROD application access requests). Incident Agent distinguishes new demand vs broken existing. Access Agent guides through IRIS account creation.</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Acceptance Criteria</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 Incident Agent: intake vs incident decision logic works. 2) Access Agent: TS ENGAGE-PROD workflow complete. 3) Both handle edge cases. 4) Logged to Content Sphere.</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Story Points</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5 points | Sprint 7-8</w:t>
            </w:r>
          </w:p>
        </w:tc>
      </w:tr>
    </w:tbl>
    <w:p>
      <w:pPr>
        <w:pStyle w:val="Normal"/>
        <w:spacing w:before="0" w:after="120"/>
        <w:rPr/>
      </w:pPr>
      <w:r>
        <w:rPr/>
      </w:r>
    </w:p>
    <w:tbl>
      <w:tblPr>
        <w:tblW w:w="9840" w:type="dxa"/>
        <w:jc w:val="left"/>
        <w:tblInd w:w="0" w:type="dxa"/>
        <w:tblLayout w:type="fixed"/>
        <w:tblCellMar>
          <w:top w:w="60" w:type="dxa"/>
          <w:left w:w="100" w:type="dxa"/>
          <w:bottom w:w="60" w:type="dxa"/>
          <w:right w:w="100" w:type="dxa"/>
        </w:tblCellMar>
      </w:tblPr>
      <w:tblGrid>
        <w:gridCol w:w="1799"/>
        <w:gridCol w:w="8040"/>
      </w:tblGrid>
      <w:tr>
        <w:trPr/>
        <w:tc>
          <w:tcPr>
            <w:tcW w:w="1799" w:type="dxa"/>
            <w:tcBorders>
              <w:top w:val="single" w:sz="2" w:space="0" w:color="CCCCCC"/>
              <w:left w:val="single" w:sz="2" w:space="0" w:color="CCCCCC"/>
              <w:bottom w:val="single" w:sz="2" w:space="0" w:color="CCCCCC"/>
              <w:right w:val="single" w:sz="2" w:space="0" w:color="CCCCCC"/>
            </w:tcBorders>
            <w:shd w:fill="FFF9C4" w:val="clear"/>
          </w:tcPr>
          <w:p>
            <w:pPr>
              <w:pStyle w:val="Normal"/>
              <w:rPr/>
            </w:pPr>
            <w:r>
              <w:rPr>
                <w:rFonts w:eastAsia="Arial" w:cs="Arial"/>
                <w:b/>
                <w:bCs/>
                <w:color w:val="F57F17"/>
                <w:sz w:val="18"/>
                <w:szCs w:val="18"/>
              </w:rPr>
              <w:t>MLL-G07</w:t>
            </w:r>
          </w:p>
        </w:tc>
        <w:tc>
          <w:tcPr>
            <w:tcW w:w="8040" w:type="dxa"/>
            <w:tcBorders>
              <w:top w:val="single" w:sz="2" w:space="0" w:color="CCCCCC"/>
              <w:left w:val="single" w:sz="2" w:space="0" w:color="CCCCCC"/>
              <w:bottom w:val="single" w:sz="2" w:space="0" w:color="CCCCCC"/>
              <w:right w:val="single" w:sz="2" w:space="0" w:color="CCCCCC"/>
            </w:tcBorders>
            <w:shd w:fill="FFF9C4" w:val="clear"/>
          </w:tcPr>
          <w:p>
            <w:pPr>
              <w:pStyle w:val="Normal"/>
              <w:rPr/>
            </w:pPr>
            <w:r>
              <w:rPr>
                <w:rFonts w:eastAsia="Arial" w:cs="Arial"/>
                <w:b/>
                <w:bCs/>
                <w:sz w:val="20"/>
                <w:szCs w:val="20"/>
              </w:rPr>
              <w:t>Build Status Agent in LangFlow</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Description</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 a developer, I need to create the Status Agent that queries both IRIS and Jira APIs to provide real-time ticket tracking. It accepts RITM numbers, Jira keys, or natural language queries and returns current status, assignment, and next steps.</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Acceptance Criteria</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 Accepts RITM numbers and Jira keys. 2) Queries IRIS REST API for RITM status. 3) Queries Jira REST API for Epic/Story status. 4) Cross-references RITM to Epic. 5) Returns formatted status summary.</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Story Points</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5 points | Sprint 8</w:t>
            </w:r>
          </w:p>
        </w:tc>
      </w:tr>
    </w:tbl>
    <w:p>
      <w:pPr>
        <w:pStyle w:val="Normal"/>
        <w:spacing w:before="0" w:after="120"/>
        <w:rPr/>
      </w:pPr>
      <w:r>
        <w:rPr/>
      </w:r>
    </w:p>
    <w:tbl>
      <w:tblPr>
        <w:tblW w:w="9840" w:type="dxa"/>
        <w:jc w:val="left"/>
        <w:tblInd w:w="0" w:type="dxa"/>
        <w:tblLayout w:type="fixed"/>
        <w:tblCellMar>
          <w:top w:w="60" w:type="dxa"/>
          <w:left w:w="100" w:type="dxa"/>
          <w:bottom w:w="60" w:type="dxa"/>
          <w:right w:w="100" w:type="dxa"/>
        </w:tblCellMar>
      </w:tblPr>
      <w:tblGrid>
        <w:gridCol w:w="1799"/>
        <w:gridCol w:w="8040"/>
      </w:tblGrid>
      <w:tr>
        <w:trPr/>
        <w:tc>
          <w:tcPr>
            <w:tcW w:w="1799" w:type="dxa"/>
            <w:tcBorders>
              <w:top w:val="single" w:sz="2" w:space="0" w:color="CCCCCC"/>
              <w:left w:val="single" w:sz="2" w:space="0" w:color="CCCCCC"/>
              <w:bottom w:val="single" w:sz="2" w:space="0" w:color="CCCCCC"/>
              <w:right w:val="single" w:sz="2" w:space="0" w:color="CCCCCC"/>
            </w:tcBorders>
            <w:shd w:fill="FFF9C4" w:val="clear"/>
          </w:tcPr>
          <w:p>
            <w:pPr>
              <w:pStyle w:val="Normal"/>
              <w:rPr/>
            </w:pPr>
            <w:r>
              <w:rPr>
                <w:rFonts w:eastAsia="Arial" w:cs="Arial"/>
                <w:b/>
                <w:bCs/>
                <w:color w:val="F57F17"/>
                <w:sz w:val="18"/>
                <w:szCs w:val="18"/>
              </w:rPr>
              <w:t>MLL-G08</w:t>
            </w:r>
          </w:p>
        </w:tc>
        <w:tc>
          <w:tcPr>
            <w:tcW w:w="8040" w:type="dxa"/>
            <w:tcBorders>
              <w:top w:val="single" w:sz="2" w:space="0" w:color="CCCCCC"/>
              <w:left w:val="single" w:sz="2" w:space="0" w:color="CCCCCC"/>
              <w:bottom w:val="single" w:sz="2" w:space="0" w:color="CCCCCC"/>
              <w:right w:val="single" w:sz="2" w:space="0" w:color="CCCCCC"/>
            </w:tcBorders>
            <w:shd w:fill="FFF9C4" w:val="clear"/>
          </w:tcPr>
          <w:p>
            <w:pPr>
              <w:pStyle w:val="Normal"/>
              <w:rPr/>
            </w:pPr>
            <w:r>
              <w:rPr>
                <w:rFonts w:eastAsia="Arial" w:cs="Arial"/>
                <w:b/>
                <w:bCs/>
                <w:sz w:val="20"/>
                <w:szCs w:val="20"/>
              </w:rPr>
              <w:t>Build Chainlit Chat UI with LangFlow Integration</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Description</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 a developer, I need to build the Chainlit-based chat interface that calls LangFlow's REST API endpoint. Implement: @cl.on_chat_start for session init, @cl.on_message for routing to LangFlow, streaming responses, file upload for PDFs, agent step visualization, and SSO authentication.</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Acceptance Criteria</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 Chainlit UI launches successfully. 2) Messages routed to LangFlow API. 3) Streaming responses work. 4) File upload functional. 5) Agent step visualization shows which agent handled request. 6) SSO auth configured. 7) Mobile responsive.</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Story Points</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8 points | Sprint 8-9</w:t>
            </w:r>
          </w:p>
        </w:tc>
      </w:tr>
    </w:tbl>
    <w:p>
      <w:pPr>
        <w:pStyle w:val="Normal"/>
        <w:spacing w:before="0" w:after="120"/>
        <w:rPr/>
      </w:pPr>
      <w:r>
        <w:rPr/>
      </w:r>
    </w:p>
    <w:tbl>
      <w:tblPr>
        <w:tblW w:w="9840" w:type="dxa"/>
        <w:jc w:val="left"/>
        <w:tblInd w:w="0" w:type="dxa"/>
        <w:tblLayout w:type="fixed"/>
        <w:tblCellMar>
          <w:top w:w="60" w:type="dxa"/>
          <w:left w:w="100" w:type="dxa"/>
          <w:bottom w:w="60" w:type="dxa"/>
          <w:right w:w="100" w:type="dxa"/>
        </w:tblCellMar>
      </w:tblPr>
      <w:tblGrid>
        <w:gridCol w:w="1799"/>
        <w:gridCol w:w="8040"/>
      </w:tblGrid>
      <w:tr>
        <w:trPr/>
        <w:tc>
          <w:tcPr>
            <w:tcW w:w="1799" w:type="dxa"/>
            <w:tcBorders>
              <w:top w:val="single" w:sz="2" w:space="0" w:color="CCCCCC"/>
              <w:left w:val="single" w:sz="2" w:space="0" w:color="CCCCCC"/>
              <w:bottom w:val="single" w:sz="2" w:space="0" w:color="CCCCCC"/>
              <w:right w:val="single" w:sz="2" w:space="0" w:color="CCCCCC"/>
            </w:tcBorders>
            <w:shd w:fill="FFF9C4" w:val="clear"/>
          </w:tcPr>
          <w:p>
            <w:pPr>
              <w:pStyle w:val="Normal"/>
              <w:rPr/>
            </w:pPr>
            <w:r>
              <w:rPr>
                <w:rFonts w:eastAsia="Arial" w:cs="Arial"/>
                <w:b/>
                <w:bCs/>
                <w:color w:val="F57F17"/>
                <w:sz w:val="18"/>
                <w:szCs w:val="18"/>
              </w:rPr>
              <w:t>MLL-G09</w:t>
            </w:r>
          </w:p>
        </w:tc>
        <w:tc>
          <w:tcPr>
            <w:tcW w:w="8040" w:type="dxa"/>
            <w:tcBorders>
              <w:top w:val="single" w:sz="2" w:space="0" w:color="CCCCCC"/>
              <w:left w:val="single" w:sz="2" w:space="0" w:color="CCCCCC"/>
              <w:bottom w:val="single" w:sz="2" w:space="0" w:color="CCCCCC"/>
              <w:right w:val="single" w:sz="2" w:space="0" w:color="CCCCCC"/>
            </w:tcBorders>
            <w:shd w:fill="FFF9C4" w:val="clear"/>
          </w:tcPr>
          <w:p>
            <w:pPr>
              <w:pStyle w:val="Normal"/>
              <w:rPr/>
            </w:pPr>
            <w:r>
              <w:rPr>
                <w:rFonts w:eastAsia="Arial" w:cs="Arial"/>
                <w:b/>
                <w:bCs/>
                <w:sz w:val="20"/>
                <w:szCs w:val="20"/>
              </w:rPr>
              <w:t>End-to-End Integration Testing</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Description</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As a QA engineer, I need to verify the complete flow from user message through all 7 agents to RITM/Jira creation. Test all 5 request types with 10 test cases each. Verify RAG retrieval returns relevant historical tickets. Confirm Content Sphere audit logging.</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Acceptance Criteria</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 50 test cases (10 per request type). 2) 100% pass rate. 3) Classification accuracy &gt;95%. 4) RAG returns relevant similar tickets. 5) RITM creation verified in IRIS. 6) Audit logs in Content Sphere Gold bucket. 7) &lt;3s end-to-end response time.</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Story Points</w:t>
            </w:r>
          </w:p>
        </w:tc>
        <w:tc>
          <w:tcPr>
            <w:tcW w:w="80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8 points | Sprint 9-10</w:t>
            </w:r>
          </w:p>
        </w:tc>
      </w:tr>
    </w:tbl>
    <w:p>
      <w:pPr>
        <w:pStyle w:val="Normal"/>
        <w:spacing w:before="0" w:after="120"/>
        <w:rPr/>
      </w:pPr>
      <w:r>
        <w:rPr/>
      </w:r>
    </w:p>
    <w:p>
      <w:pPr>
        <w:pStyle w:val="Heading2"/>
        <w:spacing w:before="280" w:after="120"/>
        <w:rPr/>
      </w:pPr>
      <w:r>
        <w:rPr>
          <w:rFonts w:eastAsia="Arial" w:cs="Arial" w:ascii="Arial" w:hAnsi="Arial"/>
        </w:rPr>
        <w:t>7.4 Sprint Planning Summary</w:t>
      </w:r>
    </w:p>
    <w:tbl>
      <w:tblPr>
        <w:tblW w:w="9840" w:type="dxa"/>
        <w:jc w:val="left"/>
        <w:tblInd w:w="0" w:type="dxa"/>
        <w:tblLayout w:type="fixed"/>
        <w:tblCellMar>
          <w:top w:w="60" w:type="dxa"/>
          <w:left w:w="100" w:type="dxa"/>
          <w:bottom w:w="60" w:type="dxa"/>
          <w:right w:w="100" w:type="dxa"/>
        </w:tblCellMar>
      </w:tblPr>
      <w:tblGrid>
        <w:gridCol w:w="1799"/>
        <w:gridCol w:w="1600"/>
        <w:gridCol w:w="1600"/>
        <w:gridCol w:w="1600"/>
        <w:gridCol w:w="1600"/>
        <w:gridCol w:w="1640"/>
      </w:tblGrid>
      <w:tr>
        <w:trPr/>
        <w:tc>
          <w:tcPr>
            <w:tcW w:w="1799" w:type="dxa"/>
            <w:tcBorders>
              <w:top w:val="single" w:sz="2" w:space="0" w:color="CCCCCC"/>
              <w:left w:val="single" w:sz="2" w:space="0" w:color="CCCCCC"/>
              <w:bottom w:val="single" w:sz="2" w:space="0" w:color="CCCCCC"/>
              <w:right w:val="single" w:sz="2" w:space="0" w:color="CCCCCC"/>
            </w:tcBorders>
            <w:shd w:fill="1A237E" w:val="clear"/>
          </w:tcPr>
          <w:p>
            <w:pPr>
              <w:pStyle w:val="Normal"/>
              <w:rPr/>
            </w:pPr>
            <w:r>
              <w:rPr>
                <w:rFonts w:eastAsia="Arial" w:cs="Arial"/>
                <w:b/>
                <w:bCs/>
                <w:color w:val="FFFFFF"/>
                <w:sz w:val="18"/>
                <w:szCs w:val="18"/>
              </w:rPr>
              <w:t>Layer</w:t>
            </w:r>
          </w:p>
        </w:tc>
        <w:tc>
          <w:tcPr>
            <w:tcW w:w="1600" w:type="dxa"/>
            <w:tcBorders>
              <w:top w:val="single" w:sz="2" w:space="0" w:color="CCCCCC"/>
              <w:left w:val="single" w:sz="2" w:space="0" w:color="CCCCCC"/>
              <w:bottom w:val="single" w:sz="2" w:space="0" w:color="CCCCCC"/>
              <w:right w:val="single" w:sz="2" w:space="0" w:color="CCCCCC"/>
            </w:tcBorders>
            <w:shd w:fill="1A237E" w:val="clear"/>
          </w:tcPr>
          <w:p>
            <w:pPr>
              <w:pStyle w:val="Normal"/>
              <w:rPr/>
            </w:pPr>
            <w:r>
              <w:rPr>
                <w:rFonts w:eastAsia="Arial" w:cs="Arial"/>
                <w:b/>
                <w:bCs/>
                <w:color w:val="FFFFFF"/>
                <w:sz w:val="18"/>
                <w:szCs w:val="18"/>
              </w:rPr>
              <w:t>Stories</w:t>
            </w:r>
          </w:p>
        </w:tc>
        <w:tc>
          <w:tcPr>
            <w:tcW w:w="1600" w:type="dxa"/>
            <w:tcBorders>
              <w:top w:val="single" w:sz="2" w:space="0" w:color="CCCCCC"/>
              <w:left w:val="single" w:sz="2" w:space="0" w:color="CCCCCC"/>
              <w:bottom w:val="single" w:sz="2" w:space="0" w:color="CCCCCC"/>
              <w:right w:val="single" w:sz="2" w:space="0" w:color="CCCCCC"/>
            </w:tcBorders>
            <w:shd w:fill="1A237E" w:val="clear"/>
          </w:tcPr>
          <w:p>
            <w:pPr>
              <w:pStyle w:val="Normal"/>
              <w:rPr/>
            </w:pPr>
            <w:r>
              <w:rPr>
                <w:rFonts w:eastAsia="Arial" w:cs="Arial"/>
                <w:b/>
                <w:bCs/>
                <w:color w:val="FFFFFF"/>
                <w:sz w:val="18"/>
                <w:szCs w:val="18"/>
              </w:rPr>
              <w:t>Points</w:t>
            </w:r>
          </w:p>
        </w:tc>
        <w:tc>
          <w:tcPr>
            <w:tcW w:w="1600" w:type="dxa"/>
            <w:tcBorders>
              <w:top w:val="single" w:sz="2" w:space="0" w:color="CCCCCC"/>
              <w:left w:val="single" w:sz="2" w:space="0" w:color="CCCCCC"/>
              <w:bottom w:val="single" w:sz="2" w:space="0" w:color="CCCCCC"/>
              <w:right w:val="single" w:sz="2" w:space="0" w:color="CCCCCC"/>
            </w:tcBorders>
            <w:shd w:fill="1A237E" w:val="clear"/>
          </w:tcPr>
          <w:p>
            <w:pPr>
              <w:pStyle w:val="Normal"/>
              <w:rPr/>
            </w:pPr>
            <w:r>
              <w:rPr>
                <w:rFonts w:eastAsia="Arial" w:cs="Arial"/>
                <w:b/>
                <w:bCs/>
                <w:color w:val="FFFFFF"/>
                <w:sz w:val="18"/>
                <w:szCs w:val="18"/>
              </w:rPr>
              <w:t>Sprints</w:t>
            </w:r>
          </w:p>
        </w:tc>
        <w:tc>
          <w:tcPr>
            <w:tcW w:w="1600" w:type="dxa"/>
            <w:tcBorders>
              <w:top w:val="single" w:sz="2" w:space="0" w:color="CCCCCC"/>
              <w:left w:val="single" w:sz="2" w:space="0" w:color="CCCCCC"/>
              <w:bottom w:val="single" w:sz="2" w:space="0" w:color="CCCCCC"/>
              <w:right w:val="single" w:sz="2" w:space="0" w:color="CCCCCC"/>
            </w:tcBorders>
            <w:shd w:fill="1A237E" w:val="clear"/>
          </w:tcPr>
          <w:p>
            <w:pPr>
              <w:pStyle w:val="Normal"/>
              <w:rPr/>
            </w:pPr>
            <w:r>
              <w:rPr>
                <w:rFonts w:eastAsia="Arial" w:cs="Arial"/>
                <w:b/>
                <w:bCs/>
                <w:color w:val="FFFFFF"/>
                <w:sz w:val="18"/>
                <w:szCs w:val="18"/>
              </w:rPr>
              <w:t>Focus</w:t>
            </w:r>
          </w:p>
        </w:tc>
        <w:tc>
          <w:tcPr>
            <w:tcW w:w="1640" w:type="dxa"/>
            <w:tcBorders>
              <w:top w:val="single" w:sz="2" w:space="0" w:color="CCCCCC"/>
              <w:left w:val="single" w:sz="2" w:space="0" w:color="CCCCCC"/>
              <w:bottom w:val="single" w:sz="2" w:space="0" w:color="CCCCCC"/>
              <w:right w:val="single" w:sz="2" w:space="0" w:color="CCCCCC"/>
            </w:tcBorders>
            <w:shd w:fill="1A237E" w:val="clear"/>
          </w:tcPr>
          <w:p>
            <w:pPr>
              <w:pStyle w:val="Normal"/>
              <w:rPr/>
            </w:pPr>
            <w:r>
              <w:rPr>
                <w:rFonts w:eastAsia="Arial" w:cs="Arial"/>
                <w:b/>
                <w:bCs/>
                <w:color w:val="FFFFFF"/>
                <w:sz w:val="18"/>
                <w:szCs w:val="18"/>
              </w:rPr>
              <w:t>Storage</w:t>
            </w:r>
          </w:p>
        </w:tc>
      </w:tr>
      <w:tr>
        <w:trPr/>
        <w:tc>
          <w:tcPr>
            <w:tcW w:w="1799" w:type="dxa"/>
            <w:tcBorders>
              <w:top w:val="single" w:sz="2" w:space="0" w:color="CCCCCC"/>
              <w:left w:val="single" w:sz="2" w:space="0" w:color="CCCCCC"/>
              <w:bottom w:val="single" w:sz="2" w:space="0" w:color="CCCCCC"/>
              <w:right w:val="single" w:sz="2" w:space="0" w:color="CCCCCC"/>
            </w:tcBorders>
            <w:shd w:fill="FFF3E0" w:val="clear"/>
          </w:tcPr>
          <w:p>
            <w:pPr>
              <w:pStyle w:val="Normal"/>
              <w:rPr/>
            </w:pPr>
            <w:r>
              <w:rPr>
                <w:rFonts w:eastAsia="Arial" w:cs="Arial"/>
                <w:b w:val="false"/>
                <w:bCs w:val="false"/>
                <w:sz w:val="18"/>
                <w:szCs w:val="18"/>
              </w:rPr>
              <w:t>Bronze</w:t>
            </w:r>
          </w:p>
        </w:tc>
        <w:tc>
          <w:tcPr>
            <w:tcW w:w="16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5</w:t>
            </w:r>
          </w:p>
        </w:tc>
        <w:tc>
          <w:tcPr>
            <w:tcW w:w="16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29</w:t>
            </w:r>
          </w:p>
        </w:tc>
        <w:tc>
          <w:tcPr>
            <w:tcW w:w="16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1-2</w:t>
            </w:r>
          </w:p>
        </w:tc>
        <w:tc>
          <w:tcPr>
            <w:tcW w:w="16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ETL + Data</w:t>
            </w:r>
          </w:p>
        </w:tc>
        <w:tc>
          <w:tcPr>
            <w:tcW w:w="16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CS Bronze</w:t>
            </w:r>
          </w:p>
        </w:tc>
      </w:tr>
      <w:tr>
        <w:trPr/>
        <w:tc>
          <w:tcPr>
            <w:tcW w:w="1799" w:type="dxa"/>
            <w:tcBorders>
              <w:top w:val="single" w:sz="2" w:space="0" w:color="CCCCCC"/>
              <w:left w:val="single" w:sz="2" w:space="0" w:color="CCCCCC"/>
              <w:bottom w:val="single" w:sz="2" w:space="0" w:color="CCCCCC"/>
              <w:right w:val="single" w:sz="2" w:space="0" w:color="CCCCCC"/>
            </w:tcBorders>
            <w:shd w:fill="E8EAF6" w:val="clear"/>
          </w:tcPr>
          <w:p>
            <w:pPr>
              <w:pStyle w:val="Normal"/>
              <w:rPr/>
            </w:pPr>
            <w:r>
              <w:rPr>
                <w:rFonts w:eastAsia="Arial" w:cs="Arial"/>
                <w:b w:val="false"/>
                <w:bCs w:val="false"/>
                <w:sz w:val="18"/>
                <w:szCs w:val="18"/>
              </w:rPr>
              <w:t>Silver</w:t>
            </w:r>
          </w:p>
        </w:tc>
        <w:tc>
          <w:tcPr>
            <w:tcW w:w="16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6</w:t>
            </w:r>
          </w:p>
        </w:tc>
        <w:tc>
          <w:tcPr>
            <w:tcW w:w="16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27</w:t>
            </w:r>
          </w:p>
        </w:tc>
        <w:tc>
          <w:tcPr>
            <w:tcW w:w="16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3-4</w:t>
            </w:r>
          </w:p>
        </w:tc>
        <w:tc>
          <w:tcPr>
            <w:tcW w:w="16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Semantic + Embed</w:t>
            </w:r>
          </w:p>
        </w:tc>
        <w:tc>
          <w:tcPr>
            <w:tcW w:w="16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CS Silver</w:t>
            </w:r>
          </w:p>
        </w:tc>
      </w:tr>
      <w:tr>
        <w:trPr/>
        <w:tc>
          <w:tcPr>
            <w:tcW w:w="1799" w:type="dxa"/>
            <w:tcBorders>
              <w:top w:val="single" w:sz="2" w:space="0" w:color="CCCCCC"/>
              <w:left w:val="single" w:sz="2" w:space="0" w:color="CCCCCC"/>
              <w:bottom w:val="single" w:sz="2" w:space="0" w:color="CCCCCC"/>
              <w:right w:val="single" w:sz="2" w:space="0" w:color="CCCCCC"/>
            </w:tcBorders>
            <w:shd w:fill="FFF9C4" w:val="clear"/>
          </w:tcPr>
          <w:p>
            <w:pPr>
              <w:pStyle w:val="Normal"/>
              <w:rPr/>
            </w:pPr>
            <w:r>
              <w:rPr>
                <w:rFonts w:eastAsia="Arial" w:cs="Arial"/>
                <w:b w:val="false"/>
                <w:bCs w:val="false"/>
                <w:sz w:val="18"/>
                <w:szCs w:val="18"/>
              </w:rPr>
              <w:t>Gold</w:t>
            </w:r>
          </w:p>
        </w:tc>
        <w:tc>
          <w:tcPr>
            <w:tcW w:w="16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9</w:t>
            </w:r>
          </w:p>
        </w:tc>
        <w:tc>
          <w:tcPr>
            <w:tcW w:w="16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57</w:t>
            </w:r>
          </w:p>
        </w:tc>
        <w:tc>
          <w:tcPr>
            <w:tcW w:w="16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5-</w:t>
            </w:r>
            <w:r>
              <w:rPr>
                <w:rFonts w:eastAsia="Arial" w:cs="Arial"/>
                <w:b w:val="false"/>
                <w:bCs w:val="false"/>
                <w:sz w:val="18"/>
                <w:szCs w:val="18"/>
              </w:rPr>
              <w:t>8</w:t>
            </w:r>
          </w:p>
        </w:tc>
        <w:tc>
          <w:tcPr>
            <w:tcW w:w="16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Agents + UI</w:t>
            </w:r>
          </w:p>
        </w:tc>
        <w:tc>
          <w:tcPr>
            <w:tcW w:w="16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CS Gold</w:t>
            </w:r>
          </w:p>
        </w:tc>
      </w:tr>
      <w:tr>
        <w:trPr/>
        <w:tc>
          <w:tcPr>
            <w:tcW w:w="1799"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TOTAL</w:t>
            </w:r>
          </w:p>
        </w:tc>
        <w:tc>
          <w:tcPr>
            <w:tcW w:w="16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20</w:t>
            </w:r>
          </w:p>
        </w:tc>
        <w:tc>
          <w:tcPr>
            <w:tcW w:w="16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113</w:t>
            </w:r>
          </w:p>
        </w:tc>
        <w:tc>
          <w:tcPr>
            <w:tcW w:w="16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bCs/>
                <w:sz w:val="18"/>
                <w:szCs w:val="18"/>
              </w:rPr>
              <w:t>10</w:t>
            </w:r>
          </w:p>
        </w:tc>
        <w:tc>
          <w:tcPr>
            <w:tcW w:w="160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Full System</w:t>
            </w:r>
          </w:p>
        </w:tc>
        <w:tc>
          <w:tcPr>
            <w:tcW w:w="1640" w:type="dxa"/>
            <w:tcBorders>
              <w:top w:val="single" w:sz="2" w:space="0" w:color="CCCCCC"/>
              <w:left w:val="single" w:sz="2" w:space="0" w:color="CCCCCC"/>
              <w:bottom w:val="single" w:sz="2" w:space="0" w:color="CCCCCC"/>
              <w:right w:val="single" w:sz="2" w:space="0" w:color="CCCCCC"/>
            </w:tcBorders>
          </w:tcPr>
          <w:p>
            <w:pPr>
              <w:pStyle w:val="Normal"/>
              <w:rPr/>
            </w:pPr>
            <w:r>
              <w:rPr>
                <w:rFonts w:eastAsia="Arial" w:cs="Arial"/>
                <w:b w:val="false"/>
                <w:bCs w:val="false"/>
                <w:sz w:val="18"/>
                <w:szCs w:val="18"/>
              </w:rPr>
              <w:t>Content Sphere</w:t>
            </w:r>
          </w:p>
        </w:tc>
      </w:tr>
    </w:tbl>
    <w:sectPr>
      <w:footerReference w:type="default" r:id="rId2"/>
      <w:type w:val="nextPage"/>
      <w:pgSz w:w="12240" w:h="15840"/>
      <w:pgMar w:left="1200" w:right="1200" w:gutter="0" w:header="0" w:top="1200" w:footer="1200" w:bottom="1736"/>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Arial">
    <w:charset w:val="01"/>
    <w:family w:val="swiss"/>
    <w:pitch w:val="variable"/>
  </w:font>
  <w:font w:name="Liberation Sans">
    <w:altName w:val="Arial"/>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pPr>
    <w:bookmarkStart w:id="0" w:name="PageNumWizard_FOOTER_Default_Page_Style1"/>
    <w:r>
      <w:rPr/>
      <w:fldChar w:fldCharType="begin"/>
    </w:r>
    <w:r>
      <w:rPr/>
      <w:instrText xml:space="preserve"> PAGE </w:instrText>
    </w:r>
    <w:r>
      <w:rPr/>
      <w:fldChar w:fldCharType="separate"/>
    </w:r>
    <w:r>
      <w:rPr/>
      <w:t>14</w:t>
    </w:r>
    <w:r>
      <w:rPr/>
      <w:fldChar w:fldCharType="end"/>
    </w:r>
    <w:bookmarkEnd w:id="0"/>
  </w:p>
</w:ft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bidi w:val="0"/>
      <w:spacing w:before="0" w:after="0"/>
      <w:jc w:val="left"/>
    </w:pPr>
    <w:rPr>
      <w:rFonts w:ascii="Arial" w:hAnsi="Arial" w:eastAsia="Arial" w:cs="Arial"/>
      <w:color w:val="auto"/>
      <w:kern w:val="0"/>
      <w:sz w:val="22"/>
      <w:szCs w:val="22"/>
      <w:lang w:val="en-US" w:eastAsia="zh-CN" w:bidi="hi-IN"/>
    </w:rPr>
  </w:style>
  <w:style w:type="paragraph" w:styleId="Heading1">
    <w:name w:val="Heading 1"/>
    <w:basedOn w:val="Heading"/>
    <w:qFormat/>
    <w:pPr>
      <w:spacing w:before="360" w:after="200"/>
      <w:outlineLvl w:val="0"/>
    </w:pPr>
    <w:rPr>
      <w:rFonts w:ascii="Arial" w:hAnsi="Arial" w:eastAsia="Arial" w:cs="Arial"/>
      <w:b/>
      <w:bCs/>
      <w:color w:val="1A237E"/>
      <w:sz w:val="36"/>
      <w:szCs w:val="36"/>
    </w:rPr>
  </w:style>
  <w:style w:type="paragraph" w:styleId="Heading2">
    <w:name w:val="Heading 2"/>
    <w:basedOn w:val="Heading"/>
    <w:qFormat/>
    <w:pPr>
      <w:spacing w:before="280" w:after="160"/>
      <w:outlineLvl w:val="1"/>
    </w:pPr>
    <w:rPr>
      <w:rFonts w:ascii="Arial" w:hAnsi="Arial" w:eastAsia="Arial" w:cs="Arial"/>
      <w:b/>
      <w:bCs/>
      <w:color w:val="283593"/>
      <w:sz w:val="30"/>
      <w:szCs w:val="30"/>
    </w:rPr>
  </w:style>
  <w:style w:type="paragraph" w:styleId="Heading3">
    <w:name w:val="Heading 3"/>
    <w:basedOn w:val="Heading"/>
    <w:qFormat/>
    <w:pPr>
      <w:spacing w:before="240" w:after="120"/>
      <w:outlineLvl w:val="2"/>
    </w:pPr>
    <w:rPr>
      <w:rFonts w:ascii="Arial" w:hAnsi="Arial" w:eastAsia="Arial" w:cs="Arial"/>
      <w:b/>
      <w:bCs/>
      <w:color w:val="3949AB"/>
      <w:sz w:val="26"/>
      <w:szCs w:val="26"/>
    </w:rPr>
  </w:style>
  <w:style w:type="paragraph" w:styleId="Heading4">
    <w:name w:val="Heading 4"/>
    <w:basedOn w:val="Heading"/>
    <w:qFormat/>
    <w:pPr/>
    <w:rPr>
      <w:i/>
      <w:iCs/>
      <w:color w:val="2E74B5"/>
    </w:rPr>
  </w:style>
  <w:style w:type="paragraph" w:styleId="Heading5">
    <w:name w:val="Heading 5"/>
    <w:basedOn w:val="Heading"/>
    <w:qFormat/>
    <w:pPr/>
    <w:rPr>
      <w:color w:val="2E74B5"/>
    </w:rPr>
  </w:style>
  <w:style w:type="paragraph" w:styleId="Heading6">
    <w:name w:val="Heading 6"/>
    <w:basedOn w:val="Heading"/>
    <w:qFormat/>
    <w:pPr/>
    <w:rPr>
      <w:color w:val="1F4D78"/>
    </w:rPr>
  </w:style>
  <w:style w:type="character" w:styleId="Hyperlink">
    <w:name w:val="Hyperlink"/>
    <w:uiPriority w:val="99"/>
    <w:unhideWhenUsed/>
    <w:rPr>
      <w:color w:val="0563C1"/>
      <w:u w:val="single"/>
    </w:rPr>
  </w:style>
  <w:style w:type="character" w:styleId="FootnoteCharacters">
    <w:name w:val="Footnote Characters"/>
    <w:uiPriority w:val="99"/>
    <w:semiHidden/>
    <w:unhideWhenUsed/>
    <w:qFormat/>
    <w:rPr>
      <w:vertAlign w:val="superscript"/>
    </w:rPr>
  </w:style>
  <w:style w:type="character" w:styleId="FootnoteReference">
    <w:name w:val="Footnote Reference"/>
    <w:rPr>
      <w:vertAlign w:val="superscript"/>
    </w:rPr>
  </w:style>
  <w:style w:type="character" w:styleId="FootnoteTextChar">
    <w:name w:val="Footnote Text Char"/>
    <w:link w:val="FootnoteText"/>
    <w:uiPriority w:val="99"/>
    <w:semiHidden/>
    <w:unhideWhenUsed/>
    <w:qFormat/>
    <w:rPr>
      <w:sz w:val="20"/>
      <w:szCs w:val="20"/>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Title">
    <w:name w:val="Title"/>
    <w:basedOn w:val="Heading"/>
    <w:qFormat/>
    <w:pPr/>
    <w:rPr>
      <w:sz w:val="56"/>
      <w:szCs w:val="56"/>
    </w:rPr>
  </w:style>
  <w:style w:type="paragraph" w:styleId="StrongEmphasis">
    <w:name w:val="Strong Emphasis"/>
    <w:qFormat/>
    <w:pPr>
      <w:widowControl/>
      <w:bidi w:val="0"/>
      <w:spacing w:before="0" w:after="0"/>
      <w:jc w:val="left"/>
    </w:pPr>
    <w:rPr>
      <w:rFonts w:ascii="Arial" w:hAnsi="Arial" w:eastAsia="Arial" w:cs="Arial"/>
      <w:b/>
      <w:bCs/>
      <w:color w:val="auto"/>
      <w:kern w:val="0"/>
      <w:sz w:val="22"/>
      <w:szCs w:val="22"/>
      <w:lang w:val="en-US" w:eastAsia="zh-CN" w:bidi="hi-IN"/>
    </w:rPr>
  </w:style>
  <w:style w:type="paragraph" w:styleId="ListParagraph">
    <w:name w:val="List Paragraph"/>
    <w:qFormat/>
    <w:pPr>
      <w:widowControl/>
      <w:bidi w:val="0"/>
      <w:spacing w:before="0" w:after="0"/>
      <w:jc w:val="left"/>
    </w:pPr>
    <w:rPr>
      <w:rFonts w:ascii="Arial" w:hAnsi="Arial" w:eastAsia="Arial" w:cs="Arial"/>
      <w:color w:val="auto"/>
      <w:kern w:val="0"/>
      <w:sz w:val="22"/>
      <w:szCs w:val="22"/>
      <w:lang w:val="en-US" w:eastAsia="zh-CN" w:bidi="hi-IN"/>
    </w:rPr>
  </w:style>
  <w:style w:type="paragraph" w:styleId="FootnoteText">
    <w:name w:val="Footnote Text"/>
    <w:basedOn w:val="Normal"/>
    <w:link w:val="FootnoteTextChar"/>
    <w:uiPriority w:val="99"/>
    <w:semiHidden/>
    <w:unhideWhenUsed/>
    <w:pPr>
      <w:spacing w:lineRule="auto" w:line="240" w:before="0" w:after="0"/>
    </w:pPr>
    <w:rPr>
      <w:sz w:val="20"/>
      <w:szCs w:val="20"/>
    </w:rPr>
  </w:style>
  <w:style w:type="paragraph" w:styleId="HeaderandFooter">
    <w:name w:val="Header and Footer"/>
    <w:basedOn w:val="Normal"/>
    <w:qFormat/>
    <w:pPr>
      <w:suppressLineNumbers/>
      <w:tabs>
        <w:tab w:val="clear" w:pos="720"/>
        <w:tab w:val="center" w:pos="4920" w:leader="none"/>
        <w:tab w:val="right" w:pos="9840" w:leader="none"/>
      </w:tabs>
    </w:pPr>
    <w:rPr/>
  </w:style>
  <w:style w:type="paragraph" w:styleId="Footer">
    <w:name w:val="Foot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6</TotalTime>
  <Application>LibreOffice/24.2.5.2$MacOSX_X86_64 LibreOffice_project/bffef4ea93e59bebbeaf7f431bb02b1a39ee8a59</Application>
  <AppVersion>15.0000</AppVersion>
  <Pages>14</Pages>
  <Words>4473</Words>
  <Characters>25356</Characters>
  <CharactersWithSpaces>29489</CharactersWithSpaces>
  <Paragraphs>340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2026-02-09T01:13:01Z</dcterms:created>
  <dc:creator>Un-named</dc:creator>
  <dc:description/>
  <dc:language>en-US</dc:language>
  <cp:lastModifiedBy/>
  <dcterms:modified xsi:type="dcterms:W3CDTF">2026-02-08T22:11:37Z</dcterms:modified>
  <cp:revision>3</cp:revision>
  <dc:subject/>
  <dc:title/>
</cp:coreProperties>
</file>